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right"/>
        <w:textAlignment w:val="auto"/>
        <w:rPr>
          <w:rFonts w:hint="eastAsia" w:ascii="仿宋_GB2312" w:hAnsi="仿宋_GB2312" w:eastAsia="仿宋_GB2312" w:cs="仿宋_GB2312"/>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right"/>
        <w:textAlignment w:val="auto"/>
        <w:rPr>
          <w:rFonts w:hint="eastAsia"/>
          <w:color w:val="auto"/>
          <w:sz w:val="24"/>
          <w:szCs w:val="24"/>
          <w:lang w:eastAsia="zh-CN"/>
        </w:rPr>
      </w:pPr>
    </w:p>
    <w:p>
      <w:pPr>
        <w:wordWrap w:val="0"/>
        <w:jc w:val="right"/>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eastAsia="zh-CN"/>
        </w:rPr>
        <w:t>定</w:t>
      </w:r>
      <w:r>
        <w:rPr>
          <w:rFonts w:hint="eastAsia" w:ascii="仿宋_GB2312" w:hAnsi="仿宋_GB2312" w:eastAsia="仿宋_GB2312" w:cs="仿宋_GB2312"/>
          <w:color w:val="auto"/>
          <w:sz w:val="32"/>
          <w:szCs w:val="32"/>
          <w:u w:val="none"/>
          <w:lang w:val="en-US" w:eastAsia="zh-CN"/>
        </w:rPr>
        <w:t>开管审环评函</w:t>
      </w:r>
      <w:r>
        <w:rPr>
          <w:rFonts w:hint="eastAsia" w:ascii="仿宋_GB2312" w:hAnsi="仿宋_GB2312" w:eastAsia="仿宋_GB2312" w:cs="仿宋_GB2312"/>
          <w:color w:val="auto"/>
          <w:kern w:val="0"/>
          <w:sz w:val="32"/>
          <w:szCs w:val="32"/>
          <w:lang w:val="en-US" w:eastAsia="zh-CN" w:bidi="ar"/>
        </w:rPr>
        <w:t>〔2022〕4号</w:t>
      </w:r>
      <w:r>
        <w:rPr>
          <w:rFonts w:hint="eastAsia" w:ascii="仿宋_GB2312" w:hAnsi="仿宋_GB2312" w:eastAsia="仿宋_GB2312" w:cs="仿宋_GB2312"/>
          <w:color w:val="FF0000"/>
          <w:kern w:val="0"/>
          <w:sz w:val="32"/>
          <w:szCs w:val="32"/>
          <w:lang w:val="en-US" w:eastAsia="zh-CN" w:bidi="ar"/>
        </w:rPr>
        <w:t xml:space="preserve"> </w:t>
      </w:r>
      <w:r>
        <w:rPr>
          <w:rFonts w:hint="eastAsia" w:ascii="仿宋_GB2312" w:hAnsi="仿宋_GB2312" w:eastAsia="仿宋_GB2312" w:cs="仿宋_GB2312"/>
          <w:color w:val="auto"/>
          <w:kern w:val="0"/>
          <w:sz w:val="32"/>
          <w:szCs w:val="32"/>
          <w:lang w:val="en-US" w:eastAsia="zh-CN" w:bidi="ar"/>
        </w:rPr>
        <w:t xml:space="preserve"> </w:t>
      </w:r>
    </w:p>
    <w:p>
      <w:pPr>
        <w:pStyle w:val="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auto"/>
        <w:rPr>
          <w:rFonts w:hint="eastAsia" w:ascii="仿宋" w:hAnsi="仿宋" w:eastAsia="仿宋" w:cs="仿宋"/>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auto"/>
        <w:rPr>
          <w:rFonts w:hint="eastAsia" w:ascii="仿宋" w:hAnsi="仿宋" w:eastAsia="仿宋" w:cs="仿宋"/>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auto"/>
          <w:spacing w:val="-6"/>
          <w:sz w:val="44"/>
          <w:szCs w:val="44"/>
        </w:rPr>
      </w:pPr>
      <w:r>
        <w:rPr>
          <w:rFonts w:hint="eastAsia" w:ascii="方正小标宋简体" w:hAnsi="方正小标宋简体" w:eastAsia="方正小标宋简体" w:cs="方正小标宋简体"/>
          <w:b w:val="0"/>
          <w:bCs w:val="0"/>
          <w:color w:val="auto"/>
          <w:spacing w:val="-6"/>
          <w:kern w:val="0"/>
          <w:sz w:val="44"/>
          <w:szCs w:val="44"/>
          <w:lang w:val="en-US" w:eastAsia="zh-CN" w:bidi="ar"/>
        </w:rPr>
        <w:t>定襄经济技术开发区管理委员会行政审批局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pacing w:val="-6"/>
          <w:kern w:val="0"/>
          <w:sz w:val="44"/>
          <w:szCs w:val="44"/>
          <w:lang w:val="en-US" w:eastAsia="zh-CN" w:bidi="ar"/>
        </w:rPr>
        <w:t>关于定襄县艺枭木石雕刻厂仿古家具与传统木艺文化产品环境影响报告表的批复</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定襄县艺枭木石雕刻厂:</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你单位报送的《关于〈定襄县艺枭木石雕刻厂仿古家具与传统木艺文化产品环境影响报告表（以下简称《报告表》）〉报批的申请》和报告表技术审查意见收悉。经专家评审会研究，现批复如下：</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一、你单位拟在定襄经济技术开发区庄力产业集聚区进行的《定襄县艺枭木石雕刻厂仿古家具与传统木艺文化产品》，主要建设内容包括：建设木工车间、雕刻打磨车间、喷漆成品车间、展厅、办公楼；购置安装推台锯、雕刻机等设备。项目总投资2000万元，其中环保投资200万元。本项目由定襄经济技术开发区管理委员会行政审批局予以备案，项目代码为2209-140921-89-01-633343。根据“报告表”结论，在落实各项环境保护措施的前提下，污染物能够达标排放，并符合总量控制要求，我局原则同意《报告表》中所列的建设项目的性质、规模、地点、拟采取的环境保护措施及相关要求。</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二、项目设计、建设和运行管理中应重点做好以下工作：</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1.认真落实施工期污水、扬尘、噪声、固废等污染防治措施。噪音实施严格控制；施工边界设置围挡，采取湿式作业，定期对施工作业场地进行洒水，有效抑制扬尘；对施工工地裸露场地、易起尘物料进行覆盖，或采取防尘布、覆盖网、配合定期喷洒粉尘抑制剂等措施，防止风蚀扬尘；施工工地主要路面全部硬化，采用商品混凝土，禁止现场搅拌，加强洒水抑尘，保证路面湿润；施工期间，物料运输车辆出场前进行清洗轮胎，不得带泥上路；运输车辆采用密闭车斗，并保证物料不遗撒外漏；若无密闭车斗，物料装载高度不得超过车辆槽帮上沿，车斗应用苫布遮盖严实；建筑垃圾、生活垃圾及时清运，送环卫部门指定地点处置；施工废水经沉淀处理后回用于运输车辆冲洗以及施工场地的洒水抑尘等，不得外排。</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落实运营期大气污染防治措施。项目木工雕刻打磨废气产生点安装顶吸/侧吸式集气罩，集中收集后采用1套布袋除尘装置处理，处理后废气经1根15m高的排气筒排放。喷漆晾干工序设置负压式喷漆晾干房内，产生废气产生点安装大容积密闭集气罩，收集的有机废气经1套二级活性炭吸附装置净化处理后，通过15m高排气筒排放。污染物排放执行《大气污染物综合排放标准》（GB16297-1996）、《山西省重点行业挥发性有机物（VOCs）2017年专项治理方案》（晋气防办</w:t>
      </w:r>
      <w:r>
        <w:rPr>
          <w:rFonts w:hint="eastAsia" w:ascii="仿宋" w:hAnsi="仿宋" w:eastAsia="仿宋" w:cs="仿宋"/>
          <w:color w:val="auto"/>
          <w:sz w:val="32"/>
          <w:lang w:val="en-US" w:eastAsia="zh-CN"/>
        </w:rPr>
        <w:t>〔</w:t>
      </w:r>
      <w:r>
        <w:rPr>
          <w:rFonts w:hint="eastAsia" w:ascii="仿宋_GB2312" w:hAnsi="仿宋_GB2312" w:eastAsia="仿宋_GB2312" w:cs="仿宋_GB2312"/>
          <w:color w:val="auto"/>
          <w:sz w:val="32"/>
          <w:lang w:val="en-US" w:eastAsia="zh-CN"/>
        </w:rPr>
        <w:t>2017</w:t>
      </w:r>
      <w:r>
        <w:rPr>
          <w:rFonts w:hint="eastAsia" w:ascii="仿宋" w:hAnsi="仿宋" w:eastAsia="仿宋" w:cs="仿宋"/>
          <w:color w:val="auto"/>
          <w:sz w:val="32"/>
          <w:lang w:val="en-US" w:eastAsia="zh-CN"/>
        </w:rPr>
        <w:t>〕</w:t>
      </w:r>
      <w:r>
        <w:rPr>
          <w:rFonts w:hint="eastAsia" w:ascii="仿宋_GB2312" w:hAnsi="仿宋_GB2312" w:eastAsia="仿宋_GB2312" w:cs="仿宋_GB2312"/>
          <w:color w:val="auto"/>
          <w:sz w:val="32"/>
          <w:lang w:val="en-US" w:eastAsia="zh-CN"/>
        </w:rPr>
        <w:t>32号）文件中相应排放标准限值要求，确保污染物达标排放。</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3.落实运营期噪声污染防治措施。选用低噪设备，并采取基础减振措施，合理配置噪声源，避免高噪声设备集中设置，所有生产设备置于室内，对噪声较大的设备采用隔声、消声措施；加强操作人员个人防护，强化行车管理制度，严禁鸣笛。厂界噪声达到《工业企业厂界环境噪声排放标准》(GB12348-2008)2类标准要求。</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4.落实运营期固废污染防治措施。项目生产过程中产生的边角料、废木屑、除尘灰外售给废品收购站，执行《一般工业固体废物贮存和填埋污染控制标准》(GB18599-2020)的有关规定；废气治理废活性炭、废漆桶、含漆废物、废机油等危险废物分类收集暂存于危废暂存间（10㎡），按要求规范建设危险废物暂存间，定期交由有资质处置单位统一处理。危险废物暂存间满足《危险废物贮存污染控制标准》(GB18597-2001)及2013修改单中的相关要求。</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5.落实污染物排放总量控制要求。总量控制要求为：烟尘：0.076t/a。</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6.落实各项环境风险防范措施。建立健全各项环境管理制度，制定规范有效的突发事件环境应急预案，确保环境安全。</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三、落实污染防治设施必须与主体工程同时设计、同时施工、同时投产使用的“三同时”制度，须按《报告表》提出的规定程序实施竣工环境保护验收备案；如项目的性质、规模、地点、工艺或者防治污染、防止生态破坏的措施发生重大变动的，应当重新报批建设项目环境影响评价文件。</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s="仿宋_GB2312"/>
          <w:color w:val="auto"/>
          <w:sz w:val="32"/>
          <w:lang w:val="en-US" w:eastAsia="zh-CN"/>
        </w:rPr>
        <w:t>四、定襄经济技术开发区管理委员会安全生产监督与综合执法局负责项目的环境监督检查工作，确保各项环保措施按《报告表》及本批复要求落实到位。</w:t>
      </w:r>
    </w:p>
    <w:p>
      <w:pPr>
        <w:pStyle w:val="4"/>
        <w:keepNext w:val="0"/>
        <w:keepLines w:val="0"/>
        <w:pageBreakBefore w:val="0"/>
        <w:widowControl w:val="0"/>
        <w:kinsoku/>
        <w:wordWrap/>
        <w:overflowPunct/>
        <w:topLinePunct w:val="0"/>
        <w:autoSpaceDE w:val="0"/>
        <w:autoSpaceDN w:val="0"/>
        <w:bidi w:val="0"/>
        <w:adjustRightInd w:val="0"/>
        <w:snapToGrid w:val="0"/>
        <w:spacing w:after="0" w:line="240" w:lineRule="auto"/>
        <w:textAlignment w:val="auto"/>
        <w:rPr>
          <w:rFonts w:hint="eastAsia"/>
          <w:color w:val="auto"/>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after="0" w:line="240" w:lineRule="auto"/>
        <w:textAlignment w:val="auto"/>
        <w:rPr>
          <w:rFonts w:hint="eastAsia"/>
          <w:color w:val="auto"/>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after="0" w:line="240" w:lineRule="auto"/>
        <w:textAlignment w:val="auto"/>
        <w:rPr>
          <w:rFonts w:hint="eastAsia"/>
          <w:color w:val="auto"/>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after="0" w:line="240" w:lineRule="auto"/>
        <w:textAlignment w:val="auto"/>
        <w:rPr>
          <w:rFonts w:hint="eastAsia"/>
          <w:color w:val="auto"/>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after="0" w:line="240" w:lineRule="auto"/>
        <w:textAlignment w:val="auto"/>
        <w:rPr>
          <w:rFonts w:hint="eastAsia"/>
          <w:color w:val="auto"/>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after="0" w:line="240" w:lineRule="auto"/>
        <w:textAlignment w:val="auto"/>
        <w:rPr>
          <w:rFonts w:hint="eastAsia"/>
          <w:color w:val="auto"/>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after="0" w:line="240" w:lineRule="auto"/>
        <w:textAlignment w:val="auto"/>
        <w:rPr>
          <w:rFonts w:hint="eastAsia"/>
          <w:color w:val="auto"/>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after="0" w:line="240" w:lineRule="auto"/>
        <w:textAlignment w:val="auto"/>
        <w:rPr>
          <w:rFonts w:hint="eastAsia"/>
          <w:color w:val="auto"/>
          <w:sz w:val="32"/>
          <w:szCs w:val="32"/>
          <w:lang w:val="en-US" w:eastAsia="zh-CN"/>
        </w:rPr>
      </w:pPr>
    </w:p>
    <w:p>
      <w:pPr>
        <w:pStyle w:val="4"/>
        <w:keepNext w:val="0"/>
        <w:keepLines w:val="0"/>
        <w:pageBreakBefore w:val="0"/>
        <w:widowControl w:val="0"/>
        <w:kinsoku/>
        <w:wordWrap w:val="0"/>
        <w:overflowPunct/>
        <w:topLinePunct w:val="0"/>
        <w:autoSpaceDE w:val="0"/>
        <w:autoSpaceDN w:val="0"/>
        <w:bidi w:val="0"/>
        <w:adjustRightInd w:val="0"/>
        <w:snapToGrid/>
        <w:spacing w:after="0" w:line="560" w:lineRule="exact"/>
        <w:jc w:val="right"/>
        <w:textAlignment w:val="auto"/>
        <w:rPr>
          <w:rFonts w:hint="eastAsia"/>
          <w:color w:val="auto"/>
          <w:sz w:val="32"/>
          <w:szCs w:val="32"/>
          <w:lang w:eastAsia="zh-CN"/>
        </w:rPr>
      </w:pPr>
      <w:r>
        <w:rPr>
          <w:rFonts w:hint="eastAsia"/>
          <w:color w:val="auto"/>
          <w:sz w:val="32"/>
          <w:szCs w:val="32"/>
          <w:lang w:eastAsia="zh-CN"/>
        </w:rPr>
        <w:t>定襄经济技术开发区管理委员会行政审批局</w:t>
      </w:r>
    </w:p>
    <w:p>
      <w:pPr>
        <w:pStyle w:val="4"/>
        <w:keepNext w:val="0"/>
        <w:keepLines w:val="0"/>
        <w:pageBreakBefore w:val="0"/>
        <w:widowControl w:val="0"/>
        <w:kinsoku/>
        <w:wordWrap w:val="0"/>
        <w:overflowPunct/>
        <w:topLinePunct w:val="0"/>
        <w:autoSpaceDE w:val="0"/>
        <w:autoSpaceDN w:val="0"/>
        <w:bidi w:val="0"/>
        <w:adjustRightInd w:val="0"/>
        <w:snapToGrid/>
        <w:spacing w:after="0" w:line="560" w:lineRule="exact"/>
        <w:jc w:val="right"/>
        <w:textAlignment w:val="auto"/>
        <w:rPr>
          <w:rFonts w:hint="default"/>
          <w:color w:val="auto"/>
          <w:sz w:val="32"/>
          <w:szCs w:val="32"/>
          <w:lang w:val="en-US" w:eastAsia="zh-CN"/>
        </w:rPr>
      </w:pPr>
      <w:r>
        <w:rPr>
          <w:rFonts w:hint="eastAsia"/>
          <w:color w:val="auto"/>
          <w:sz w:val="32"/>
          <w:szCs w:val="32"/>
          <w:lang w:val="en-US" w:eastAsia="zh-CN"/>
        </w:rPr>
        <w:t xml:space="preserve">2022年9月14日            </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bookmarkStart w:id="0" w:name="_GoBack"/>
      <w:bookmarkEnd w:id="0"/>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hAnsi="仿宋_GB2312" w:eastAsia="仿宋_GB2312" w:cs="仿宋_GB2312"/>
          <w:sz w:val="2"/>
          <w:szCs w:val="2"/>
        </w:rPr>
      </w:pPr>
    </w:p>
    <w:p>
      <w:pPr>
        <w:keepNext w:val="0"/>
        <w:keepLines w:val="0"/>
        <w:pageBreakBefore w:val="0"/>
        <w:widowControl w:val="0"/>
        <w:kinsoku/>
        <w:wordWrap/>
        <w:overflowPunct/>
        <w:topLinePunct w:val="0"/>
        <w:autoSpaceDE/>
        <w:autoSpaceDN/>
        <w:bidi w:val="0"/>
        <w:adjustRightInd/>
        <w:snapToGrid/>
        <w:spacing w:line="520" w:lineRule="exact"/>
        <w:ind w:left="945" w:leftChars="50" w:hanging="840" w:hangingChars="300"/>
        <w:textAlignment w:val="auto"/>
        <w:rPr>
          <w:rFonts w:hint="eastAsia" w:ascii="仿宋_GB2312" w:hAnsi="仿宋_GB2312" w:eastAsia="仿宋_GB2312" w:cs="Times New Roman"/>
          <w:color w:val="auto"/>
          <w:spacing w:val="0"/>
          <w:sz w:val="28"/>
          <w:szCs w:val="28"/>
          <w:lang w:val="en-US" w:eastAsia="zh-CN"/>
        </w:rPr>
      </w:pPr>
      <w:r>
        <w:rPr>
          <w:rFonts w:hint="eastAsia" w:ascii="仿宋_GB2312" w:eastAsia="仿宋_GB2312"/>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45720</wp:posOffset>
                </wp:positionV>
                <wp:extent cx="5419725" cy="0"/>
                <wp:effectExtent l="0" t="0" r="0" b="0"/>
                <wp:wrapNone/>
                <wp:docPr id="3" name="直线 5"/>
                <wp:cNvGraphicFramePr/>
                <a:graphic xmlns:a="http://schemas.openxmlformats.org/drawingml/2006/main">
                  <a:graphicData uri="http://schemas.microsoft.com/office/word/2010/wordprocessingShape">
                    <wps:wsp>
                      <wps:cNvCnPr/>
                      <wps:spPr>
                        <a:xfrm>
                          <a:off x="0" y="0"/>
                          <a:ext cx="5419725" cy="0"/>
                        </a:xfrm>
                        <a:prstGeom prst="line">
                          <a:avLst/>
                        </a:prstGeom>
                        <a:ln w="4444"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3.6pt;height:0pt;width:426.75pt;z-index:251661312;mso-width-relative:page;mso-height-relative:page;" filled="f" stroked="t" coordsize="21600,21600" o:gfxdata="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38LZNMAAAAE&#10;AQAADwAAAAAAAAABACAAAAAiAAAAZHJzL2Rvd25yZXYueG1sUEsBAhQAFAAAAAgAh07iQNLZ7Jzo&#10;AQAA2wMAAA4AAAAAAAAAAQAgAAAAIgEAAGRycy9lMm9Eb2MueG1sUEsFBgAAAAAGAAYAWQEAAHwF&#10;AAAAAA==&#10;">
                <v:fill on="f" focussize="0,0"/>
                <v:stroke weight="0.34992125984252pt" color="#000000" joinstyle="round"/>
                <v:imagedata o:title=""/>
                <o:lock v:ext="edit" aspectratio="f"/>
              </v:line>
            </w:pict>
          </mc:Fallback>
        </mc:AlternateContent>
      </w:r>
      <w:r>
        <w:rPr>
          <w:rFonts w:hint="eastAsia" w:ascii="仿宋_GB2312" w:eastAsia="仿宋_GB2312"/>
          <w:color w:val="auto"/>
          <w:sz w:val="28"/>
          <w:szCs w:val="28"/>
        </w:rPr>
        <w:t>抄送：</w:t>
      </w:r>
      <w:r>
        <w:rPr>
          <w:rFonts w:hint="eastAsia" w:ascii="仿宋_GB2312" w:hAnsi="仿宋_GB2312" w:eastAsia="仿宋_GB2312" w:cs="Times New Roman"/>
          <w:color w:val="auto"/>
          <w:spacing w:val="0"/>
          <w:sz w:val="28"/>
          <w:szCs w:val="28"/>
          <w:lang w:val="en-US" w:eastAsia="zh-CN"/>
        </w:rPr>
        <w:t>定襄经济技术开发区管理委员会安全生产监督与综合执法局，</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_GB2312" w:hAnsi="仿宋_GB2312" w:eastAsia="仿宋_GB2312"/>
          <w:color w:val="auto"/>
          <w:spacing w:val="0"/>
          <w:sz w:val="28"/>
          <w:szCs w:val="28"/>
          <w:lang w:val="en-US" w:eastAsia="zh-CN"/>
        </w:rPr>
      </w:pPr>
      <w:r>
        <w:rPr>
          <w:rFonts w:hint="eastAsia" w:ascii="仿宋_GB2312" w:hAnsi="仿宋_GB2312" w:eastAsia="仿宋_GB2312"/>
          <w:color w:val="auto"/>
          <w:spacing w:val="0"/>
          <w:sz w:val="28"/>
          <w:szCs w:val="28"/>
          <w:lang w:val="en-US" w:eastAsia="zh-CN"/>
        </w:rPr>
        <w:t>山西绿洲阳光环保科技有限公司</w:t>
      </w:r>
    </w:p>
    <w:p>
      <w:pPr>
        <w:spacing w:line="520" w:lineRule="exact"/>
        <w:ind w:firstLine="140" w:firstLineChars="50"/>
        <w:rPr>
          <w:rFonts w:eastAsia="仿宋_GB2312"/>
          <w:color w:val="auto"/>
          <w:sz w:val="28"/>
          <w:szCs w:val="28"/>
        </w:rPr>
      </w:pPr>
      <w:r>
        <w:rPr>
          <w:rFonts w:hint="eastAsia" w:ascii="仿宋_GB2312" w:eastAsia="仿宋_GB2312"/>
          <w:color w:val="auto"/>
          <w:sz w:val="28"/>
          <w:szCs w:val="28"/>
          <w:lang w:eastAsia="zh-CN"/>
        </w:rPr>
        <w:t>定襄经济技术开发区管理委员会行政审批局</w:t>
      </w:r>
      <w:r>
        <w:rPr>
          <w:rFonts w:hint="eastAsia" w:ascii="仿宋_GB2312" w:eastAsia="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340360</wp:posOffset>
                </wp:positionV>
                <wp:extent cx="5419725" cy="0"/>
                <wp:effectExtent l="0" t="0" r="0" b="0"/>
                <wp:wrapNone/>
                <wp:docPr id="2" name="直线 6"/>
                <wp:cNvGraphicFramePr/>
                <a:graphic xmlns:a="http://schemas.openxmlformats.org/drawingml/2006/main">
                  <a:graphicData uri="http://schemas.microsoft.com/office/word/2010/wordprocessingShape">
                    <wps:wsp>
                      <wps:cNvCnPr/>
                      <wps:spPr>
                        <a:xfrm>
                          <a:off x="0" y="0"/>
                          <a:ext cx="5419725" cy="0"/>
                        </a:xfrm>
                        <a:prstGeom prst="line">
                          <a:avLst/>
                        </a:prstGeom>
                        <a:ln w="4444"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26.8pt;height:0pt;width:426.75pt;z-index:251660288;mso-width-relative:page;mso-height-relative:page;" filled="f" stroked="t" coordsize="21600,21600" o:gfxdata="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zBS31QAA&#10;AAYBAAAPAAAAAAAAAAEAIAAAACIAAABkcnMvZG93bnJldi54bWxQSwECFAAUAAAACACHTuJAJ4Lo&#10;wegBAADbAwAADgAAAAAAAAABACAAAAAkAQAAZHJzL2Uyb0RvYy54bWxQSwUGAAAAAAYABgBZAQAA&#10;fgUAAAAA&#10;">
                <v:fill on="f" focussize="0,0"/>
                <v:stroke weight="0.34992125984252pt" color="#000000" joinstyle="round"/>
                <v:imagedata o:title=""/>
                <o:lock v:ext="edit" aspectratio="f"/>
              </v:line>
            </w:pict>
          </mc:Fallback>
        </mc:AlternateContent>
      </w:r>
      <w:r>
        <w:rPr>
          <w:rFonts w:hint="eastAsia" w:ascii="仿宋_GB2312" w:eastAsia="仿宋_GB2312"/>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5419725" cy="0"/>
                <wp:effectExtent l="0" t="0" r="0" b="0"/>
                <wp:wrapNone/>
                <wp:docPr id="1" name="直线 7"/>
                <wp:cNvGraphicFramePr/>
                <a:graphic xmlns:a="http://schemas.openxmlformats.org/drawingml/2006/main">
                  <a:graphicData uri="http://schemas.microsoft.com/office/word/2010/wordprocessingShape">
                    <wps:wsp>
                      <wps:cNvCnPr/>
                      <wps:spPr>
                        <a:xfrm>
                          <a:off x="0" y="0"/>
                          <a:ext cx="5419725"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pt;margin-top:3.65pt;height:0pt;width:426.75pt;z-index:251659264;mso-width-relative:page;mso-height-relative:page;" filled="f" stroked="t" coordsize="21600,21600" o:gfxdata="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lL80E1QAA&#10;AAQBAAAPAAAAAAAAAAEAIAAAACIAAABkcnMvZG93bnJldi54bWxQSwECFAAUAAAACACHTuJAc2eA&#10;KegBAADbAwAADgAAAAAAAAABACAAAAAkAQAAZHJzL2Uyb0RvYy54bWxQSwUGAAAAAAYABgBZAQAA&#10;fgUAAAAA&#10;">
                <v:fill on="f" focussize="0,0"/>
                <v:stroke weight="0.25pt" color="#000000" joinstyle="round"/>
                <v:imagedata o:title=""/>
                <o:lock v:ext="edit" aspectratio="f"/>
              </v:line>
            </w:pict>
          </mc:Fallback>
        </mc:AlternateContent>
      </w:r>
      <w:r>
        <w:rPr>
          <w:rFonts w:hint="eastAsia" w:ascii="仿宋_GB2312" w:eastAsia="仿宋_GB2312"/>
          <w:color w:val="auto"/>
          <w:sz w:val="28"/>
          <w:szCs w:val="28"/>
          <w:lang w:val="en-US" w:eastAsia="zh-CN"/>
        </w:rPr>
        <w:t xml:space="preserve">   </w:t>
      </w:r>
      <w:r>
        <w:rPr>
          <w:rFonts w:hint="eastAsia" w:ascii="仿宋_GB2312" w:hAnsi="仿宋_GB2312" w:eastAsia="仿宋_GB2312" w:cs="仿宋_GB2312"/>
          <w:color w:val="auto"/>
          <w:spacing w:val="-11"/>
          <w:sz w:val="28"/>
          <w:szCs w:val="28"/>
        </w:rPr>
        <w:t>20</w:t>
      </w:r>
      <w:r>
        <w:rPr>
          <w:rFonts w:hint="eastAsia" w:ascii="仿宋_GB2312" w:hAnsi="仿宋_GB2312" w:eastAsia="仿宋_GB2312" w:cs="仿宋_GB2312"/>
          <w:color w:val="auto"/>
          <w:spacing w:val="-11"/>
          <w:sz w:val="28"/>
          <w:szCs w:val="28"/>
          <w:lang w:val="en-US" w:eastAsia="zh-CN"/>
        </w:rPr>
        <w:t>22</w:t>
      </w:r>
      <w:r>
        <w:rPr>
          <w:rFonts w:hint="eastAsia" w:ascii="仿宋_GB2312" w:hAnsi="仿宋_GB2312" w:eastAsia="仿宋_GB2312" w:cs="仿宋_GB2312"/>
          <w:color w:val="auto"/>
          <w:spacing w:val="-11"/>
          <w:sz w:val="28"/>
          <w:szCs w:val="28"/>
        </w:rPr>
        <w:t>年</w:t>
      </w:r>
      <w:r>
        <w:rPr>
          <w:rFonts w:hint="eastAsia" w:ascii="仿宋_GB2312" w:hAnsi="仿宋_GB2312" w:eastAsia="仿宋_GB2312" w:cs="仿宋_GB2312"/>
          <w:color w:val="auto"/>
          <w:spacing w:val="-11"/>
          <w:sz w:val="28"/>
          <w:szCs w:val="28"/>
          <w:lang w:val="en-US" w:eastAsia="zh-CN"/>
        </w:rPr>
        <w:t>9</w:t>
      </w:r>
      <w:r>
        <w:rPr>
          <w:rFonts w:hint="eastAsia" w:ascii="仿宋_GB2312" w:hAnsi="仿宋_GB2312" w:eastAsia="仿宋_GB2312" w:cs="仿宋_GB2312"/>
          <w:color w:val="auto"/>
          <w:spacing w:val="-11"/>
          <w:sz w:val="28"/>
          <w:szCs w:val="28"/>
        </w:rPr>
        <w:t>月</w:t>
      </w:r>
      <w:r>
        <w:rPr>
          <w:rFonts w:hint="eastAsia" w:ascii="仿宋_GB2312" w:hAnsi="仿宋_GB2312" w:eastAsia="仿宋_GB2312" w:cs="仿宋_GB2312"/>
          <w:color w:val="auto"/>
          <w:spacing w:val="-11"/>
          <w:sz w:val="28"/>
          <w:szCs w:val="28"/>
          <w:lang w:val="en-US" w:eastAsia="zh-CN"/>
        </w:rPr>
        <w:t>14</w:t>
      </w:r>
      <w:r>
        <w:rPr>
          <w:rFonts w:hint="eastAsia" w:ascii="仿宋_GB2312" w:hAnsi="仿宋_GB2312" w:eastAsia="仿宋_GB2312" w:cs="仿宋_GB2312"/>
          <w:color w:val="auto"/>
          <w:spacing w:val="-11"/>
          <w:sz w:val="28"/>
          <w:szCs w:val="28"/>
        </w:rPr>
        <w:t>日印发</w:t>
      </w:r>
    </w:p>
    <w:p>
      <w:pPr>
        <w:spacing w:line="520" w:lineRule="exact"/>
        <w:ind w:firstLine="7000" w:firstLineChars="2500"/>
        <w:rPr>
          <w:rFonts w:hint="eastAsia"/>
          <w:color w:val="auto"/>
          <w:sz w:val="32"/>
          <w:szCs w:val="32"/>
          <w:lang w:val="en-US" w:eastAsia="zh-CN"/>
        </w:rPr>
      </w:pPr>
      <w:r>
        <w:rPr>
          <w:rFonts w:hint="eastAsia" w:eastAsia="仿宋_GB2312"/>
          <w:color w:val="auto"/>
          <w:sz w:val="28"/>
          <w:szCs w:val="28"/>
          <w:lang w:eastAsia="zh-CN"/>
        </w:rPr>
        <w:t>共印</w:t>
      </w:r>
      <w:r>
        <w:rPr>
          <w:rFonts w:hint="eastAsia" w:eastAsia="仿宋_GB2312"/>
          <w:color w:val="auto"/>
          <w:sz w:val="28"/>
          <w:szCs w:val="28"/>
          <w:lang w:val="en-US" w:eastAsia="zh-CN"/>
        </w:rPr>
        <w:t>5份</w:t>
      </w:r>
    </w:p>
    <w:sectPr>
      <w:footerReference r:id="rId3" w:type="default"/>
      <w:pgSz w:w="11906" w:h="16838"/>
      <w:pgMar w:top="1440" w:right="1800" w:bottom="1587" w:left="1800" w:header="851" w:footer="1417"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5BhC8kBAACZ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XkGEL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ODk2NTNiZTNmMDFkZDZlODI2OWRhNjk2MTgwYjYifQ=="/>
  </w:docVars>
  <w:rsids>
    <w:rsidRoot w:val="00172A27"/>
    <w:rsid w:val="00003315"/>
    <w:rsid w:val="00025733"/>
    <w:rsid w:val="000444C0"/>
    <w:rsid w:val="000E503B"/>
    <w:rsid w:val="000E71BE"/>
    <w:rsid w:val="001175FA"/>
    <w:rsid w:val="00150E26"/>
    <w:rsid w:val="00170856"/>
    <w:rsid w:val="0017758A"/>
    <w:rsid w:val="001A5A72"/>
    <w:rsid w:val="002A348E"/>
    <w:rsid w:val="00381E9A"/>
    <w:rsid w:val="003C6B71"/>
    <w:rsid w:val="003D080A"/>
    <w:rsid w:val="003E63D4"/>
    <w:rsid w:val="00477327"/>
    <w:rsid w:val="004C30B2"/>
    <w:rsid w:val="004F54F5"/>
    <w:rsid w:val="00505BD7"/>
    <w:rsid w:val="00533B0B"/>
    <w:rsid w:val="00561410"/>
    <w:rsid w:val="00561D59"/>
    <w:rsid w:val="006118DE"/>
    <w:rsid w:val="00686242"/>
    <w:rsid w:val="006A0F39"/>
    <w:rsid w:val="006B384D"/>
    <w:rsid w:val="006D1424"/>
    <w:rsid w:val="006E006B"/>
    <w:rsid w:val="006E584F"/>
    <w:rsid w:val="00705430"/>
    <w:rsid w:val="00716BA7"/>
    <w:rsid w:val="00761099"/>
    <w:rsid w:val="007D206D"/>
    <w:rsid w:val="00814149"/>
    <w:rsid w:val="00830B8F"/>
    <w:rsid w:val="008525BE"/>
    <w:rsid w:val="008B41B3"/>
    <w:rsid w:val="00905542"/>
    <w:rsid w:val="009467B6"/>
    <w:rsid w:val="009630CB"/>
    <w:rsid w:val="0099679E"/>
    <w:rsid w:val="009E57BF"/>
    <w:rsid w:val="00A52432"/>
    <w:rsid w:val="00A75ECA"/>
    <w:rsid w:val="00A968B0"/>
    <w:rsid w:val="00AB5646"/>
    <w:rsid w:val="00AD22F7"/>
    <w:rsid w:val="00B46677"/>
    <w:rsid w:val="00BA54DD"/>
    <w:rsid w:val="00BF2E97"/>
    <w:rsid w:val="00D03F97"/>
    <w:rsid w:val="00D05F7B"/>
    <w:rsid w:val="00D36A30"/>
    <w:rsid w:val="00D6710F"/>
    <w:rsid w:val="00DE7D8D"/>
    <w:rsid w:val="00E32776"/>
    <w:rsid w:val="00F16A32"/>
    <w:rsid w:val="00F303F4"/>
    <w:rsid w:val="00F3454D"/>
    <w:rsid w:val="00F65C50"/>
    <w:rsid w:val="01BF4E6E"/>
    <w:rsid w:val="03CD58FA"/>
    <w:rsid w:val="03FE51D6"/>
    <w:rsid w:val="04CF6AF0"/>
    <w:rsid w:val="060071A1"/>
    <w:rsid w:val="0623006A"/>
    <w:rsid w:val="062D2E01"/>
    <w:rsid w:val="06B75786"/>
    <w:rsid w:val="074E6A71"/>
    <w:rsid w:val="0881685A"/>
    <w:rsid w:val="08BF6DB9"/>
    <w:rsid w:val="08C53643"/>
    <w:rsid w:val="091D5FBE"/>
    <w:rsid w:val="0A2B62A9"/>
    <w:rsid w:val="0A877E56"/>
    <w:rsid w:val="0B1103B5"/>
    <w:rsid w:val="0B994BC6"/>
    <w:rsid w:val="0BB301EC"/>
    <w:rsid w:val="0D8550E5"/>
    <w:rsid w:val="0FEC6F39"/>
    <w:rsid w:val="11C336B1"/>
    <w:rsid w:val="124C4F25"/>
    <w:rsid w:val="15D14E23"/>
    <w:rsid w:val="1806754E"/>
    <w:rsid w:val="18AD0187"/>
    <w:rsid w:val="18B02A22"/>
    <w:rsid w:val="18D966D2"/>
    <w:rsid w:val="196D4853"/>
    <w:rsid w:val="196D7493"/>
    <w:rsid w:val="1D024523"/>
    <w:rsid w:val="1E6E5C62"/>
    <w:rsid w:val="1F0D2B59"/>
    <w:rsid w:val="21C21A71"/>
    <w:rsid w:val="2429288F"/>
    <w:rsid w:val="253F5F29"/>
    <w:rsid w:val="25DB06E1"/>
    <w:rsid w:val="2609375D"/>
    <w:rsid w:val="28B24FE6"/>
    <w:rsid w:val="29223AFC"/>
    <w:rsid w:val="29A15F2D"/>
    <w:rsid w:val="2AF360FB"/>
    <w:rsid w:val="2B3704ED"/>
    <w:rsid w:val="2DD14958"/>
    <w:rsid w:val="2DF1387D"/>
    <w:rsid w:val="30A22F42"/>
    <w:rsid w:val="30CB4218"/>
    <w:rsid w:val="31A83855"/>
    <w:rsid w:val="31C417B4"/>
    <w:rsid w:val="32B81408"/>
    <w:rsid w:val="32FF5CB9"/>
    <w:rsid w:val="340B1173"/>
    <w:rsid w:val="3495381E"/>
    <w:rsid w:val="34DC28B4"/>
    <w:rsid w:val="37050EB8"/>
    <w:rsid w:val="37EA6E2B"/>
    <w:rsid w:val="37EB411B"/>
    <w:rsid w:val="380C3F03"/>
    <w:rsid w:val="3A5268E5"/>
    <w:rsid w:val="3A9F6CEE"/>
    <w:rsid w:val="3D01187D"/>
    <w:rsid w:val="3F281CCE"/>
    <w:rsid w:val="3F4662FC"/>
    <w:rsid w:val="420728C0"/>
    <w:rsid w:val="420A603D"/>
    <w:rsid w:val="42853B89"/>
    <w:rsid w:val="43156B79"/>
    <w:rsid w:val="43606277"/>
    <w:rsid w:val="440D55C3"/>
    <w:rsid w:val="442C735A"/>
    <w:rsid w:val="453601BA"/>
    <w:rsid w:val="459E612A"/>
    <w:rsid w:val="46E47111"/>
    <w:rsid w:val="479D1AAF"/>
    <w:rsid w:val="489A336E"/>
    <w:rsid w:val="4AA91221"/>
    <w:rsid w:val="4AE106E6"/>
    <w:rsid w:val="4BAE4100"/>
    <w:rsid w:val="4C682AF9"/>
    <w:rsid w:val="4C69333C"/>
    <w:rsid w:val="4D8D2407"/>
    <w:rsid w:val="4EA27220"/>
    <w:rsid w:val="4EE20A97"/>
    <w:rsid w:val="4FE60326"/>
    <w:rsid w:val="4FF500EA"/>
    <w:rsid w:val="5039638C"/>
    <w:rsid w:val="50714B04"/>
    <w:rsid w:val="50DD0852"/>
    <w:rsid w:val="511D25A1"/>
    <w:rsid w:val="514B681E"/>
    <w:rsid w:val="55E02CA3"/>
    <w:rsid w:val="563A41B9"/>
    <w:rsid w:val="568F0C53"/>
    <w:rsid w:val="59C36967"/>
    <w:rsid w:val="5B6162A7"/>
    <w:rsid w:val="5B8B6C8B"/>
    <w:rsid w:val="5B9E5D23"/>
    <w:rsid w:val="5D9C5CCD"/>
    <w:rsid w:val="5DA424B0"/>
    <w:rsid w:val="5E503449"/>
    <w:rsid w:val="5E540298"/>
    <w:rsid w:val="61073196"/>
    <w:rsid w:val="627765C9"/>
    <w:rsid w:val="62902593"/>
    <w:rsid w:val="642C6CD1"/>
    <w:rsid w:val="64663EAB"/>
    <w:rsid w:val="65F42306"/>
    <w:rsid w:val="67B93B77"/>
    <w:rsid w:val="694542C0"/>
    <w:rsid w:val="6B382398"/>
    <w:rsid w:val="6B776105"/>
    <w:rsid w:val="6D702020"/>
    <w:rsid w:val="6DF41CE3"/>
    <w:rsid w:val="6EBD7374"/>
    <w:rsid w:val="6F0718B2"/>
    <w:rsid w:val="6F135CCC"/>
    <w:rsid w:val="6F2216B4"/>
    <w:rsid w:val="7232214E"/>
    <w:rsid w:val="72DD2171"/>
    <w:rsid w:val="73752CC6"/>
    <w:rsid w:val="739E572A"/>
    <w:rsid w:val="74CC3E1B"/>
    <w:rsid w:val="74E57951"/>
    <w:rsid w:val="7577187E"/>
    <w:rsid w:val="76E73FB3"/>
    <w:rsid w:val="772653F3"/>
    <w:rsid w:val="772F6A33"/>
    <w:rsid w:val="78433BCB"/>
    <w:rsid w:val="78E27F1E"/>
    <w:rsid w:val="7AF66C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Indent 2"/>
    <w:basedOn w:val="1"/>
    <w:next w:val="1"/>
    <w:unhideWhenUsed/>
    <w:qFormat/>
    <w:uiPriority w:val="99"/>
    <w:pPr>
      <w:snapToGrid w:val="0"/>
      <w:spacing w:line="520" w:lineRule="exact"/>
      <w:ind w:firstLine="480" w:firstLineChars="200"/>
    </w:pPr>
    <w:rPr>
      <w:rFonts w:ascii="宋体" w:hAnsi="宋体"/>
      <w:color w:val="000000"/>
      <w:sz w:val="24"/>
    </w:rPr>
  </w:style>
  <w:style w:type="paragraph" w:styleId="3">
    <w:name w:val="Normal Indent"/>
    <w:basedOn w:val="1"/>
    <w:next w:val="4"/>
    <w:qFormat/>
    <w:uiPriority w:val="0"/>
    <w:pPr>
      <w:ind w:firstLine="420"/>
    </w:pPr>
  </w:style>
  <w:style w:type="paragraph" w:customStyle="1" w:styleId="4">
    <w:name w:val="Default"/>
    <w:qFormat/>
    <w:uiPriority w:val="0"/>
    <w:pPr>
      <w:widowControl w:val="0"/>
      <w:autoSpaceDE w:val="0"/>
      <w:autoSpaceDN w:val="0"/>
      <w:adjustRightInd w:val="0"/>
      <w:spacing w:after="200" w:line="276" w:lineRule="auto"/>
    </w:pPr>
    <w:rPr>
      <w:rFonts w:hint="eastAsia" w:ascii="仿宋_GB2312" w:hAnsi="仿宋_GB2312" w:eastAsia="仿宋_GB2312" w:cs="Times New Roman"/>
      <w:color w:val="000000"/>
      <w:sz w:val="24"/>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Body Text 2"/>
    <w:basedOn w:val="1"/>
    <w:qFormat/>
    <w:uiPriority w:val="0"/>
    <w:pPr>
      <w:spacing w:line="480" w:lineRule="auto"/>
    </w:p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1678</Words>
  <Characters>1799</Characters>
  <Lines>7</Lines>
  <Paragraphs>1</Paragraphs>
  <TotalTime>27</TotalTime>
  <ScaleCrop>false</ScaleCrop>
  <LinksUpToDate>false</LinksUpToDate>
  <CharactersWithSpaces>1816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2015-06-29T08:55:00Z</dcterms:created>
  <dc:creator>asus  123</dc:creator>
  <cp:lastModifiedBy>雷蕾</cp:lastModifiedBy>
  <cp:lastPrinted>2021-10-13T07:32:00Z</cp:lastPrinted>
  <dcterms:modified xsi:type="dcterms:W3CDTF">2022-09-07T07:38:47Z</dcterms:modified>
  <dc:title>山西申华电站设备有限公司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F29B0F2DAD9D4F5CB4AD107C28357882</vt:lpwstr>
  </property>
</Properties>
</file>