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dp" ContentType="image/vnd.ms-photo"/>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eastAsia="宋体"/>
          <w:sz w:val="36"/>
          <w:szCs w:val="36"/>
          <w:lang w:eastAsia="zh-CN"/>
        </w:rPr>
      </w:pPr>
      <w:r>
        <w:rPr>
          <w:rFonts w:hint="eastAsia" w:eastAsia="宋体"/>
          <w:sz w:val="36"/>
          <w:szCs w:val="36"/>
          <w:lang w:eastAsia="zh-CN"/>
        </w:rPr>
        <w:drawing>
          <wp:anchor distT="0" distB="0" distL="114300" distR="114300" simplePos="0" relativeHeight="251693056" behindDoc="0" locked="0" layoutInCell="1" allowOverlap="1">
            <wp:simplePos x="0" y="0"/>
            <wp:positionH relativeFrom="column">
              <wp:posOffset>0</wp:posOffset>
            </wp:positionH>
            <wp:positionV relativeFrom="paragraph">
              <wp:posOffset>0</wp:posOffset>
            </wp:positionV>
            <wp:extent cx="5610860" cy="7917815"/>
            <wp:effectExtent l="0" t="0" r="8890" b="6985"/>
            <wp:wrapNone/>
            <wp:docPr id="32" name="图片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
                    <pic:cNvPicPr>
                      <a:picLocks noChangeAspect="1"/>
                    </pic:cNvPicPr>
                  </pic:nvPicPr>
                  <pic:blipFill>
                    <a:blip r:embed="rId11"/>
                    <a:stretch>
                      <a:fillRect/>
                    </a:stretch>
                  </pic:blipFill>
                  <pic:spPr>
                    <a:xfrm>
                      <a:off x="0" y="0"/>
                      <a:ext cx="5610860" cy="7917815"/>
                    </a:xfrm>
                    <a:prstGeom prst="rect">
                      <a:avLst/>
                    </a:prstGeom>
                  </pic:spPr>
                </pic:pic>
              </a:graphicData>
            </a:graphic>
          </wp:anchor>
        </w:drawing>
      </w:r>
    </w:p>
    <w:p>
      <w:pPr>
        <w:rPr>
          <w:sz w:val="36"/>
          <w:szCs w:val="36"/>
        </w:rPr>
      </w:pPr>
    </w:p>
    <w:p>
      <w:pPr>
        <w:rPr>
          <w:sz w:val="36"/>
          <w:szCs w:val="36"/>
        </w:rPr>
      </w:pPr>
    </w:p>
    <w:p>
      <w:pPr>
        <w:rPr>
          <w:sz w:val="36"/>
          <w:szCs w:val="36"/>
        </w:rPr>
      </w:pPr>
    </w:p>
    <w:p>
      <w:pPr>
        <w:rPr>
          <w:sz w:val="36"/>
          <w:szCs w:val="36"/>
        </w:rPr>
      </w:pPr>
    </w:p>
    <w:p>
      <w:pPr>
        <w:adjustRightInd w:val="0"/>
        <w:snapToGrid w:val="0"/>
        <w:jc w:val="center"/>
        <w:outlineLvl w:val="0"/>
        <w:rPr>
          <w:bCs/>
          <w:sz w:val="72"/>
          <w:szCs w:val="72"/>
        </w:rPr>
      </w:pPr>
      <w:r>
        <w:rPr>
          <w:bCs/>
          <w:sz w:val="72"/>
          <w:szCs w:val="72"/>
        </w:rPr>
        <w:t>建设项目环境影响报告表</w:t>
      </w:r>
    </w:p>
    <w:p>
      <w:pPr>
        <w:adjustRightInd w:val="0"/>
        <w:snapToGrid w:val="0"/>
        <w:spacing w:before="192" w:beforeLines="80"/>
        <w:jc w:val="center"/>
        <w:rPr>
          <w:bCs/>
          <w:sz w:val="48"/>
          <w:szCs w:val="48"/>
        </w:rPr>
      </w:pPr>
      <w:r>
        <w:rPr>
          <w:bCs/>
          <w:sz w:val="48"/>
          <w:szCs w:val="48"/>
        </w:rPr>
        <w:t>（污染影响类）</w:t>
      </w:r>
    </w:p>
    <w:p>
      <w:pPr>
        <w:adjustRightInd w:val="0"/>
        <w:snapToGrid w:val="0"/>
        <w:spacing w:line="288" w:lineRule="auto"/>
        <w:jc w:val="center"/>
        <w:outlineLvl w:val="0"/>
        <w:rPr>
          <w:color w:val="000000"/>
          <w:kern w:val="44"/>
          <w:sz w:val="44"/>
          <w:szCs w:val="44"/>
        </w:rPr>
      </w:pPr>
    </w:p>
    <w:p>
      <w:pPr>
        <w:jc w:val="center"/>
        <w:rPr>
          <w:sz w:val="52"/>
          <w:szCs w:val="52"/>
        </w:rPr>
      </w:pPr>
    </w:p>
    <w:p>
      <w:pPr>
        <w:ind w:firstLine="1040"/>
        <w:rPr>
          <w:sz w:val="44"/>
          <w:szCs w:val="44"/>
        </w:rPr>
      </w:pPr>
    </w:p>
    <w:p>
      <w:pPr>
        <w:ind w:firstLine="1040"/>
        <w:rPr>
          <w:sz w:val="44"/>
          <w:szCs w:val="44"/>
        </w:rPr>
      </w:pPr>
    </w:p>
    <w:p>
      <w:pPr>
        <w:ind w:firstLine="1040"/>
        <w:rPr>
          <w:sz w:val="44"/>
          <w:szCs w:val="44"/>
        </w:rPr>
      </w:pPr>
    </w:p>
    <w:p>
      <w:pPr>
        <w:ind w:firstLine="1040"/>
        <w:rPr>
          <w:sz w:val="44"/>
          <w:szCs w:val="44"/>
        </w:rPr>
      </w:pPr>
    </w:p>
    <w:p>
      <w:pPr>
        <w:adjustRightInd w:val="0"/>
        <w:snapToGrid w:val="0"/>
        <w:spacing w:line="288" w:lineRule="auto"/>
        <w:ind w:left="567" w:leftChars="269" w:right="195" w:rightChars="93" w:hanging="2"/>
        <w:jc w:val="center"/>
        <w:rPr>
          <w:sz w:val="36"/>
          <w:szCs w:val="36"/>
          <w:u w:val="single"/>
        </w:rPr>
      </w:pPr>
      <w:r>
        <w:rPr>
          <w:sz w:val="36"/>
          <w:szCs w:val="36"/>
        </w:rPr>
        <w:t>项目名称：</w:t>
      </w:r>
      <w:r>
        <w:rPr>
          <w:sz w:val="36"/>
          <w:szCs w:val="36"/>
          <w:u w:val="single"/>
        </w:rPr>
        <w:t>年产3000吨锻件、法兰生产线扩建项目</w:t>
      </w:r>
    </w:p>
    <w:p>
      <w:pPr>
        <w:adjustRightInd w:val="0"/>
        <w:snapToGrid w:val="0"/>
        <w:spacing w:line="288" w:lineRule="auto"/>
        <w:ind w:left="567" w:leftChars="269" w:right="195" w:rightChars="93" w:hanging="2"/>
        <w:rPr>
          <w:sz w:val="36"/>
          <w:szCs w:val="36"/>
        </w:rPr>
      </w:pPr>
      <w:r>
        <w:rPr>
          <w:sz w:val="36"/>
          <w:szCs w:val="36"/>
        </w:rPr>
        <w:t>建设单位（盖章）：</w:t>
      </w:r>
      <w:r>
        <w:rPr>
          <w:sz w:val="36"/>
          <w:szCs w:val="36"/>
          <w:u w:val="single"/>
        </w:rPr>
        <w:t xml:space="preserve">   定襄县鑫康机械加工厂     </w:t>
      </w:r>
    </w:p>
    <w:p>
      <w:pPr>
        <w:adjustRightInd w:val="0"/>
        <w:snapToGrid w:val="0"/>
        <w:spacing w:line="288" w:lineRule="auto"/>
        <w:ind w:left="569" w:leftChars="270" w:right="195" w:rightChars="93" w:hanging="2"/>
        <w:rPr>
          <w:sz w:val="36"/>
          <w:szCs w:val="36"/>
          <w:u w:val="single"/>
        </w:rPr>
      </w:pPr>
      <w:r>
        <w:rPr>
          <w:sz w:val="36"/>
          <w:szCs w:val="36"/>
        </w:rPr>
        <w:t>编制日期：</w:t>
      </w:r>
      <w:r>
        <w:rPr>
          <w:sz w:val="36"/>
          <w:szCs w:val="36"/>
          <w:u w:val="single"/>
        </w:rPr>
        <w:t xml:space="preserve">            2021年</w:t>
      </w:r>
      <w:r>
        <w:rPr>
          <w:rFonts w:hint="eastAsia"/>
          <w:sz w:val="36"/>
          <w:szCs w:val="36"/>
          <w:u w:val="single"/>
        </w:rPr>
        <w:t>9</w:t>
      </w:r>
      <w:r>
        <w:rPr>
          <w:sz w:val="36"/>
          <w:szCs w:val="36"/>
          <w:u w:val="single"/>
        </w:rPr>
        <w:t xml:space="preserve">月            </w:t>
      </w:r>
    </w:p>
    <w:p>
      <w:pPr>
        <w:adjustRightInd w:val="0"/>
        <w:snapToGrid w:val="0"/>
        <w:spacing w:line="288" w:lineRule="auto"/>
        <w:ind w:firstLine="1040"/>
        <w:rPr>
          <w:sz w:val="36"/>
          <w:szCs w:val="36"/>
          <w:u w:val="single"/>
        </w:rPr>
      </w:pPr>
      <w:bookmarkStart w:id="0" w:name="_Hlk57884087"/>
    </w:p>
    <w:p>
      <w:pPr>
        <w:adjustRightInd w:val="0"/>
        <w:snapToGrid w:val="0"/>
        <w:spacing w:line="288" w:lineRule="auto"/>
        <w:ind w:firstLine="1040"/>
        <w:rPr>
          <w:sz w:val="36"/>
          <w:szCs w:val="36"/>
        </w:rPr>
      </w:pPr>
    </w:p>
    <w:p>
      <w:pPr>
        <w:adjustRightInd w:val="0"/>
        <w:snapToGrid w:val="0"/>
        <w:spacing w:line="288" w:lineRule="auto"/>
        <w:ind w:firstLine="1040"/>
        <w:rPr>
          <w:sz w:val="36"/>
          <w:szCs w:val="36"/>
        </w:rPr>
      </w:pPr>
    </w:p>
    <w:p>
      <w:pPr>
        <w:adjustRightInd w:val="0"/>
        <w:snapToGrid w:val="0"/>
        <w:spacing w:line="288" w:lineRule="auto"/>
        <w:ind w:firstLine="1040"/>
        <w:rPr>
          <w:sz w:val="36"/>
          <w:szCs w:val="36"/>
        </w:rPr>
      </w:pPr>
    </w:p>
    <w:p>
      <w:pPr>
        <w:adjustRightInd w:val="0"/>
        <w:snapToGrid w:val="0"/>
        <w:spacing w:line="288" w:lineRule="auto"/>
        <w:ind w:firstLine="1040"/>
        <w:rPr>
          <w:sz w:val="36"/>
          <w:szCs w:val="36"/>
        </w:rPr>
      </w:pPr>
    </w:p>
    <w:bookmarkEnd w:id="0"/>
    <w:p>
      <w:pPr>
        <w:adjustRightInd w:val="0"/>
        <w:snapToGrid w:val="0"/>
        <w:spacing w:line="288" w:lineRule="auto"/>
        <w:jc w:val="center"/>
        <w:rPr>
          <w:sz w:val="36"/>
          <w:szCs w:val="36"/>
        </w:rPr>
      </w:pPr>
      <w:r>
        <w:rPr>
          <w:sz w:val="36"/>
          <w:szCs w:val="36"/>
        </w:rPr>
        <w:t>中华人民共和国生态环境部制</w:t>
      </w:r>
    </w:p>
    <w:p>
      <w:pPr>
        <w:adjustRightInd w:val="0"/>
        <w:snapToGrid w:val="0"/>
        <w:spacing w:line="288" w:lineRule="auto"/>
        <w:ind w:firstLine="1040"/>
        <w:rPr>
          <w:sz w:val="36"/>
          <w:szCs w:val="36"/>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pPr>
        <w:pStyle w:val="10"/>
        <w:jc w:val="center"/>
        <w:outlineLvl w:val="0"/>
        <w:rPr>
          <w:rFonts w:hint="eastAsia" w:ascii="Times New Roman" w:hAnsi="Times New Roman" w:cs="Times New Roman"/>
          <w:snapToGrid w:val="0"/>
          <w:sz w:val="30"/>
          <w:szCs w:val="30"/>
        </w:rPr>
      </w:pPr>
      <w:r>
        <w:rPr>
          <w:rFonts w:ascii="Times New Roman" w:hAnsi="Times New Roman" w:cs="Times New Roman"/>
          <w:snapToGrid w:val="0"/>
          <w:sz w:val="30"/>
          <w:szCs w:val="30"/>
        </w:rPr>
        <w:drawing>
          <wp:inline distT="0" distB="0" distL="114300" distR="114300">
            <wp:extent cx="5603875" cy="7936230"/>
            <wp:effectExtent l="0" t="0" r="15875" b="7620"/>
            <wp:docPr id="33" name="图片 20" descr="修改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descr="修改说明"/>
                    <pic:cNvPicPr>
                      <a:picLocks noChangeAspect="1"/>
                    </pic:cNvPicPr>
                  </pic:nvPicPr>
                  <pic:blipFill>
                    <a:blip r:embed="rId12"/>
                    <a:stretch>
                      <a:fillRect/>
                    </a:stretch>
                  </pic:blipFill>
                  <pic:spPr>
                    <a:xfrm>
                      <a:off x="0" y="0"/>
                      <a:ext cx="5603875" cy="7936230"/>
                    </a:xfrm>
                    <a:prstGeom prst="rect">
                      <a:avLst/>
                    </a:prstGeom>
                    <a:noFill/>
                    <a:ln>
                      <a:noFill/>
                    </a:ln>
                  </pic:spPr>
                </pic:pic>
              </a:graphicData>
            </a:graphic>
          </wp:inline>
        </w:drawing>
      </w:r>
    </w:p>
    <w:p>
      <w:pPr>
        <w:pStyle w:val="10"/>
        <w:jc w:val="center"/>
        <w:outlineLvl w:val="0"/>
        <w:rPr>
          <w:rFonts w:hint="eastAsia" w:ascii="Times New Roman" w:hAnsi="Times New Roman" w:cs="Times New Roman"/>
          <w:snapToGrid w:val="0"/>
          <w:sz w:val="30"/>
          <w:szCs w:val="30"/>
        </w:rPr>
      </w:pPr>
      <w:r>
        <w:rPr>
          <w:rFonts w:hint="eastAsia" w:ascii="Times New Roman" w:hAnsi="Times New Roman" w:cs="Times New Roman"/>
          <w:snapToGrid w:val="0"/>
          <w:sz w:val="30"/>
          <w:szCs w:val="30"/>
        </w:rPr>
        <w:pict>
          <v:shape id="_x0000_i1026" o:spt="75" type="#_x0000_t75" style="height:624.9pt;width:441.25pt;" filled="f" o:preferrelative="t" stroked="f" coordsize="21600,21600">
            <v:path/>
            <v:fill on="f" focussize="0,0"/>
            <v:stroke on="f" joinstyle="miter"/>
            <v:imagedata r:id="rId13" o:title="修改说明1"/>
            <o:lock v:ext="edit" aspectratio="t"/>
            <w10:wrap type="none"/>
            <w10:anchorlock/>
          </v:shape>
        </w:pict>
      </w:r>
    </w:p>
    <w:p>
      <w:pPr>
        <w:pStyle w:val="10"/>
        <w:jc w:val="center"/>
        <w:outlineLvl w:val="0"/>
        <w:rPr>
          <w:rFonts w:ascii="Times New Roman" w:hAnsi="Times New Roman" w:cs="Times New Roman"/>
          <w:snapToGrid w:val="0"/>
          <w:sz w:val="30"/>
          <w:szCs w:val="30"/>
        </w:rPr>
        <w:sectPr>
          <w:footerReference r:id="rId5" w:type="default"/>
          <w:pgSz w:w="11906" w:h="16838"/>
          <w:pgMar w:top="1701" w:right="1531" w:bottom="1701" w:left="1531" w:header="851" w:footer="1077" w:gutter="0"/>
          <w:pgNumType w:start="1"/>
          <w:cols w:space="720" w:num="1"/>
          <w:docGrid w:linePitch="312" w:charSpace="0"/>
        </w:sectPr>
      </w:pPr>
    </w:p>
    <w:tbl>
      <w:tblPr>
        <w:tblStyle w:val="13"/>
        <w:tblpPr w:leftFromText="181" w:rightFromText="181" w:vertAnchor="page" w:horzAnchor="margin" w:tblpXSpec="center" w:tblpYSpec="center"/>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30"/>
        <w:gridCol w:w="45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z w:val="30"/>
                <w:szCs w:val="30"/>
              </w:rPr>
              <w:drawing>
                <wp:inline distT="0" distB="0" distL="0" distR="0">
                  <wp:extent cx="2325370" cy="1745615"/>
                  <wp:effectExtent l="0" t="0" r="0" b="6985"/>
                  <wp:docPr id="72" name="图片 72" descr="C:\Users\Administrator\Desktop\鑫康法兰厂\鑫康锻造\IMG_20210623_11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strator\Desktop\鑫康法兰厂\鑫康锻造\IMG_20210623_114144.jpg"/>
                          <pic:cNvPicPr>
                            <a:picLocks noChangeAspect="1" noChangeArrowheads="1"/>
                          </pic:cNvPicPr>
                        </pic:nvPicPr>
                        <pic:blipFill>
                          <a:blip r:embed="rId14" cstate="print">
                            <a:extLst>
                              <a:ext uri="{28A0092B-C50C-407E-A947-70E740481C1C}">
                                <a14:useLocalDpi xmlns:a14="http://schemas.microsoft.com/office/drawing/2010/main" val="0"/>
                              </a:ext>
                            </a:extLst>
                          </a:blip>
                          <a:srcRect l="27846" b="29781"/>
                          <a:stretch>
                            <a:fillRect/>
                          </a:stretch>
                        </pic:blipFill>
                        <pic:spPr>
                          <a:xfrm>
                            <a:off x="0" y="0"/>
                            <a:ext cx="2325600" cy="1746000"/>
                          </a:xfrm>
                          <a:prstGeom prst="rect">
                            <a:avLst/>
                          </a:prstGeom>
                          <a:noFill/>
                          <a:ln>
                            <a:noFill/>
                          </a:ln>
                        </pic:spPr>
                      </pic:pic>
                    </a:graphicData>
                  </a:graphic>
                </wp:inline>
              </w:drawing>
            </w:r>
          </w:p>
        </w:tc>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z w:val="30"/>
                <w:szCs w:val="30"/>
              </w:rPr>
              <w:drawing>
                <wp:inline distT="0" distB="0" distL="0" distR="0">
                  <wp:extent cx="2325370" cy="1745615"/>
                  <wp:effectExtent l="0" t="0" r="0" b="6985"/>
                  <wp:docPr id="70" name="图片 70" descr="C:\Users\Administrator\Desktop\鑫康法兰厂\鑫康锻造\IMG_20210623_11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strator\Desktop\鑫康法兰厂\鑫康锻造\IMG_20210623_113106.jpg"/>
                          <pic:cNvPicPr>
                            <a:picLocks noChangeAspect="1" noChangeArrowheads="1"/>
                          </pic:cNvPicPr>
                        </pic:nvPicPr>
                        <pic:blipFill>
                          <a:blip r:embed="rId15" cstate="print">
                            <a:extLst>
                              <a:ext uri="{28A0092B-C50C-407E-A947-70E740481C1C}">
                                <a14:useLocalDpi xmlns:a14="http://schemas.microsoft.com/office/drawing/2010/main" val="0"/>
                              </a:ext>
                            </a:extLst>
                          </a:blip>
                          <a:srcRect l="18054" t="19865" r="12142" b="30287"/>
                          <a:stretch>
                            <a:fillRect/>
                          </a:stretch>
                        </pic:blipFill>
                        <pic:spPr>
                          <a:xfrm>
                            <a:off x="0" y="0"/>
                            <a:ext cx="2325600" cy="17460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pacing w:val="-20"/>
                <w:sz w:val="30"/>
                <w:szCs w:val="30"/>
              </w:rPr>
            </w:pPr>
            <w:r>
              <w:rPr>
                <w:rFonts w:ascii="Times New Roman" w:hAnsi="Times New Roman" w:cs="Times New Roman"/>
                <w:snapToGrid w:val="0"/>
                <w:sz w:val="30"/>
                <w:szCs w:val="30"/>
              </w:rPr>
              <w:t>包装及成品车间</w:t>
            </w:r>
          </w:p>
        </w:tc>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pacing w:val="-20"/>
                <w:sz w:val="30"/>
                <w:szCs w:val="30"/>
              </w:rPr>
            </w:pPr>
            <w:r>
              <w:rPr>
                <w:rFonts w:ascii="Times New Roman" w:hAnsi="Times New Roman" w:cs="Times New Roman"/>
                <w:snapToGrid w:val="0"/>
                <w:sz w:val="30"/>
                <w:szCs w:val="30"/>
              </w:rPr>
              <w:t>下料及机加工车间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rPr>
              <w:drawing>
                <wp:inline distT="0" distB="0" distL="0" distR="0">
                  <wp:extent cx="2326640" cy="1744980"/>
                  <wp:effectExtent l="0" t="0" r="0" b="7620"/>
                  <wp:docPr id="69" name="图片 69" descr="https://lbsugc.cdn.bcebos.com/images/Hd6ca7bcb0a46f21f1ab8f992f8246b600d33ae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https://lbsugc.cdn.bcebos.com/images/Hd6ca7bcb0a46f21f1ab8f992f8246b600d33ae6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341211" cy="1755908"/>
                          </a:xfrm>
                          <a:prstGeom prst="rect">
                            <a:avLst/>
                          </a:prstGeom>
                          <a:noFill/>
                          <a:ln>
                            <a:noFill/>
                          </a:ln>
                        </pic:spPr>
                      </pic:pic>
                    </a:graphicData>
                  </a:graphic>
                </wp:inline>
              </w:drawing>
            </w:r>
          </w:p>
        </w:tc>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z w:val="30"/>
                <w:szCs w:val="30"/>
              </w:rPr>
              <w:drawing>
                <wp:inline distT="0" distB="0" distL="0" distR="0">
                  <wp:extent cx="2301875" cy="1734185"/>
                  <wp:effectExtent l="0" t="0" r="3175" b="0"/>
                  <wp:docPr id="256" name="图片 256" descr="IMG_20210623_11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IMG_20210623_1135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301875" cy="17341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napToGrid w:val="0"/>
                <w:spacing w:val="-20"/>
                <w:sz w:val="30"/>
                <w:szCs w:val="30"/>
              </w:rPr>
              <w:t>厂界北侧定襄县古城锻造有限公司</w:t>
            </w:r>
          </w:p>
        </w:tc>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napToGrid w:val="0"/>
                <w:spacing w:val="-20"/>
                <w:sz w:val="30"/>
                <w:szCs w:val="30"/>
              </w:rPr>
              <w:t>厂界西侧定襄县安信锻造有限公司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z w:val="30"/>
                <w:szCs w:val="30"/>
              </w:rPr>
              <w:drawing>
                <wp:inline distT="0" distB="0" distL="0" distR="0">
                  <wp:extent cx="2325370" cy="1745615"/>
                  <wp:effectExtent l="0" t="0" r="0" b="6985"/>
                  <wp:docPr id="73" name="图片 73" descr="C:\Users\Administrator\Desktop\鑫康法兰厂\鑫康锻造\IMG_20210623_11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Administrator\Desktop\鑫康法兰厂\鑫康锻造\IMG_20210623_114148.jpg"/>
                          <pic:cNvPicPr>
                            <a:picLocks noChangeAspect="1" noChangeArrowheads="1"/>
                          </pic:cNvPicPr>
                        </pic:nvPicPr>
                        <pic:blipFill>
                          <a:blip r:embed="rId18" cstate="print">
                            <a:extLst>
                              <a:ext uri="{28A0092B-C50C-407E-A947-70E740481C1C}">
                                <a14:useLocalDpi xmlns:a14="http://schemas.microsoft.com/office/drawing/2010/main" val="0"/>
                              </a:ext>
                            </a:extLst>
                          </a:blip>
                          <a:srcRect r="8418"/>
                          <a:stretch>
                            <a:fillRect/>
                          </a:stretch>
                        </pic:blipFill>
                        <pic:spPr>
                          <a:xfrm>
                            <a:off x="0" y="0"/>
                            <a:ext cx="2325600" cy="1746000"/>
                          </a:xfrm>
                          <a:prstGeom prst="rect">
                            <a:avLst/>
                          </a:prstGeom>
                          <a:noFill/>
                          <a:ln>
                            <a:noFill/>
                          </a:ln>
                        </pic:spPr>
                      </pic:pic>
                    </a:graphicData>
                  </a:graphic>
                </wp:inline>
              </w:drawing>
            </w:r>
          </w:p>
        </w:tc>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z w:val="30"/>
                <w:szCs w:val="30"/>
              </w:rPr>
              <w:drawing>
                <wp:inline distT="0" distB="0" distL="0" distR="0">
                  <wp:extent cx="2312670" cy="1734820"/>
                  <wp:effectExtent l="0" t="0" r="0" b="0"/>
                  <wp:docPr id="16" name="图片 16" descr="IMG_20210623_114155"/>
                  <wp:cNvGraphicFramePr/>
                  <a:graphic xmlns:a="http://schemas.openxmlformats.org/drawingml/2006/main">
                    <a:graphicData uri="http://schemas.openxmlformats.org/drawingml/2006/picture">
                      <pic:pic xmlns:pic="http://schemas.openxmlformats.org/drawingml/2006/picture">
                        <pic:nvPicPr>
                          <pic:cNvPr id="16" name="图片 16" descr="IMG_20210623_114155"/>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312670" cy="173482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napToGrid w:val="0"/>
                <w:sz w:val="30"/>
                <w:szCs w:val="30"/>
              </w:rPr>
              <w:t>厂界南侧农田</w:t>
            </w:r>
          </w:p>
        </w:tc>
        <w:tc>
          <w:tcPr>
            <w:tcW w:w="4530" w:type="dxa"/>
            <w:vAlign w:val="center"/>
          </w:tcPr>
          <w:p>
            <w:pPr>
              <w:pStyle w:val="10"/>
              <w:spacing w:before="0" w:beforeAutospacing="0" w:after="0" w:afterAutospacing="0" w:line="360" w:lineRule="auto"/>
              <w:jc w:val="center"/>
              <w:outlineLvl w:val="0"/>
              <w:rPr>
                <w:rFonts w:ascii="Times New Roman" w:hAnsi="Times New Roman" w:cs="Times New Roman"/>
                <w:snapToGrid w:val="0"/>
                <w:sz w:val="30"/>
                <w:szCs w:val="30"/>
              </w:rPr>
            </w:pPr>
            <w:r>
              <w:rPr>
                <w:rFonts w:ascii="Times New Roman" w:hAnsi="Times New Roman" w:cs="Times New Roman"/>
                <w:snapToGrid w:val="0"/>
                <w:sz w:val="30"/>
                <w:szCs w:val="30"/>
              </w:rPr>
              <w:t>厂界北侧宏忻线</w:t>
            </w:r>
          </w:p>
        </w:tc>
      </w:tr>
    </w:tbl>
    <w:p>
      <w:pPr>
        <w:pStyle w:val="10"/>
        <w:jc w:val="center"/>
        <w:outlineLvl w:val="0"/>
        <w:rPr>
          <w:rFonts w:ascii="Times New Roman" w:hAnsi="Times New Roman" w:cs="Times New Roman"/>
          <w:snapToGrid w:val="0"/>
          <w:sz w:val="30"/>
          <w:szCs w:val="30"/>
        </w:rPr>
        <w:sectPr>
          <w:pgSz w:w="11906" w:h="16838"/>
          <w:pgMar w:top="1701" w:right="1531" w:bottom="1701" w:left="1531" w:header="851" w:footer="1077" w:gutter="0"/>
          <w:pgNumType w:start="1"/>
          <w:cols w:space="720" w:num="1"/>
          <w:docGrid w:linePitch="312" w:charSpace="0"/>
        </w:sectPr>
      </w:pPr>
    </w:p>
    <w:p>
      <w:pPr>
        <w:pStyle w:val="10"/>
        <w:jc w:val="center"/>
        <w:outlineLvl w:val="0"/>
        <w:rPr>
          <w:rFonts w:ascii="Times New Roman" w:hAnsi="Times New Roman" w:cs="Times New Roman"/>
          <w:snapToGrid w:val="0"/>
          <w:sz w:val="30"/>
          <w:szCs w:val="30"/>
        </w:rPr>
      </w:pPr>
      <w:r>
        <w:rPr>
          <w:rFonts w:ascii="Times New Roman" w:hAnsi="Times New Roman" w:cs="Times New Roman"/>
          <w:snapToGrid w:val="0"/>
          <w:sz w:val="30"/>
          <w:szCs w:val="30"/>
        </w:rPr>
        <w:t>一、建设项目基本情况</w:t>
      </w:r>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105"/>
        <w:gridCol w:w="1985"/>
        <w:gridCol w:w="12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建设项目名称</w:t>
            </w:r>
          </w:p>
        </w:tc>
        <w:tc>
          <w:tcPr>
            <w:tcW w:w="6488" w:type="dxa"/>
            <w:gridSpan w:val="5"/>
            <w:vAlign w:val="center"/>
          </w:tcPr>
          <w:p>
            <w:pPr>
              <w:adjustRightInd w:val="0"/>
              <w:snapToGrid w:val="0"/>
              <w:jc w:val="center"/>
              <w:rPr>
                <w:sz w:val="24"/>
              </w:rPr>
            </w:pPr>
            <w:r>
              <w:rPr>
                <w:sz w:val="24"/>
              </w:rPr>
              <w:t>年产3000吨锻件、法兰生产线扩建项目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项目代码</w:t>
            </w:r>
          </w:p>
        </w:tc>
        <w:tc>
          <w:tcPr>
            <w:tcW w:w="6488" w:type="dxa"/>
            <w:gridSpan w:val="5"/>
            <w:vAlign w:val="center"/>
          </w:tcPr>
          <w:p>
            <w:pPr>
              <w:adjustRightInd w:val="0"/>
              <w:snapToGrid w:val="0"/>
              <w:jc w:val="center"/>
              <w:rPr>
                <w:sz w:val="24"/>
              </w:rPr>
            </w:pPr>
            <w:r>
              <w:rPr>
                <w:sz w:val="24"/>
              </w:rPr>
              <w:t>2106-140921-89-01-217187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建设单位联系人</w:t>
            </w:r>
          </w:p>
        </w:tc>
        <w:tc>
          <w:tcPr>
            <w:tcW w:w="1637" w:type="dxa"/>
            <w:vAlign w:val="center"/>
          </w:tcPr>
          <w:p>
            <w:pPr>
              <w:adjustRightInd w:val="0"/>
              <w:snapToGrid w:val="0"/>
              <w:jc w:val="center"/>
              <w:rPr>
                <w:sz w:val="24"/>
              </w:rPr>
            </w:pPr>
            <w:r>
              <w:rPr>
                <w:sz w:val="24"/>
              </w:rPr>
              <w:t>彭胜凯</w:t>
            </w:r>
          </w:p>
        </w:tc>
        <w:tc>
          <w:tcPr>
            <w:tcW w:w="2212" w:type="dxa"/>
            <w:gridSpan w:val="3"/>
            <w:vAlign w:val="center"/>
          </w:tcPr>
          <w:p>
            <w:pPr>
              <w:adjustRightInd w:val="0"/>
              <w:snapToGrid w:val="0"/>
              <w:jc w:val="center"/>
              <w:rPr>
                <w:sz w:val="24"/>
              </w:rPr>
            </w:pPr>
            <w:r>
              <w:rPr>
                <w:sz w:val="24"/>
              </w:rPr>
              <w:t>联系方式</w:t>
            </w:r>
          </w:p>
        </w:tc>
        <w:tc>
          <w:tcPr>
            <w:tcW w:w="2639" w:type="dxa"/>
            <w:vAlign w:val="center"/>
          </w:tcPr>
          <w:p>
            <w:pPr>
              <w:adjustRightInd w:val="0"/>
              <w:snapToGrid w:val="0"/>
              <w:jc w:val="center"/>
              <w:rPr>
                <w:sz w:val="24"/>
              </w:rPr>
            </w:pPr>
            <w:r>
              <w:rPr>
                <w:sz w:val="24"/>
              </w:rPr>
              <w:t>13037019571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建设地点</w:t>
            </w:r>
          </w:p>
        </w:tc>
        <w:tc>
          <w:tcPr>
            <w:tcW w:w="6488" w:type="dxa"/>
            <w:gridSpan w:val="5"/>
            <w:vAlign w:val="center"/>
          </w:tcPr>
          <w:p>
            <w:pPr>
              <w:adjustRightInd w:val="0"/>
              <w:snapToGrid w:val="0"/>
              <w:jc w:val="center"/>
              <w:rPr>
                <w:sz w:val="24"/>
              </w:rPr>
            </w:pPr>
            <w:r>
              <w:rPr>
                <w:sz w:val="24"/>
              </w:rPr>
              <w:t>山西省忻州市定襄县留晖工业聚集区内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地理坐标</w:t>
            </w:r>
          </w:p>
        </w:tc>
        <w:tc>
          <w:tcPr>
            <w:tcW w:w="6488" w:type="dxa"/>
            <w:gridSpan w:val="5"/>
            <w:vAlign w:val="center"/>
          </w:tcPr>
          <w:p>
            <w:pPr>
              <w:jc w:val="center"/>
              <w:rPr>
                <w:sz w:val="24"/>
              </w:rPr>
            </w:pPr>
            <w:r>
              <w:rPr>
                <w:sz w:val="24"/>
              </w:rPr>
              <w:t>东经112°59′38.858″，北纬38°27′13.212″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1742" w:type="dxa"/>
            <w:gridSpan w:val="2"/>
            <w:vAlign w:val="center"/>
          </w:tcPr>
          <w:p>
            <w:pPr>
              <w:adjustRightInd w:val="0"/>
              <w:snapToGrid w:val="0"/>
              <w:jc w:val="center"/>
              <w:rPr>
                <w:sz w:val="24"/>
              </w:rPr>
            </w:pPr>
            <w:r>
              <w:rPr>
                <w:sz w:val="24"/>
              </w:rPr>
              <w:t>C3393锻件及粉末冶金制品制造</w:t>
            </w:r>
          </w:p>
        </w:tc>
        <w:tc>
          <w:tcPr>
            <w:tcW w:w="1985" w:type="dxa"/>
            <w:vAlign w:val="center"/>
          </w:tcPr>
          <w:p>
            <w:pPr>
              <w:adjustRightInd w:val="0"/>
              <w:snapToGrid w:val="0"/>
              <w:jc w:val="center"/>
              <w:rPr>
                <w:sz w:val="24"/>
              </w:rPr>
            </w:pPr>
            <w:bookmarkStart w:id="1" w:name="_Hlk49843745"/>
            <w:r>
              <w:rPr>
                <w:sz w:val="24"/>
              </w:rPr>
              <w:t>建设项目</w:t>
            </w:r>
          </w:p>
          <w:p>
            <w:pPr>
              <w:adjustRightInd w:val="0"/>
              <w:snapToGrid w:val="0"/>
              <w:jc w:val="center"/>
              <w:rPr>
                <w:sz w:val="24"/>
              </w:rPr>
            </w:pPr>
            <w:r>
              <w:rPr>
                <w:sz w:val="24"/>
              </w:rPr>
              <w:t>行业类别</w:t>
            </w:r>
            <w:bookmarkEnd w:id="1"/>
          </w:p>
        </w:tc>
        <w:tc>
          <w:tcPr>
            <w:tcW w:w="2761" w:type="dxa"/>
            <w:gridSpan w:val="2"/>
            <w:vAlign w:val="center"/>
          </w:tcPr>
          <w:p>
            <w:pPr>
              <w:adjustRightInd w:val="0"/>
              <w:snapToGrid w:val="0"/>
              <w:rPr>
                <w:sz w:val="24"/>
              </w:rPr>
            </w:pPr>
            <w:r>
              <w:rPr>
                <w:rFonts w:hint="eastAsia"/>
                <w:sz w:val="24"/>
              </w:rPr>
              <w:t>三十、金属制品业—68铸造及其他金属制品制造339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建设性质</w:t>
            </w:r>
          </w:p>
        </w:tc>
        <w:tc>
          <w:tcPr>
            <w:tcW w:w="1742" w:type="dxa"/>
            <w:gridSpan w:val="2"/>
            <w:vAlign w:val="center"/>
          </w:tcPr>
          <w:p>
            <w:pPr>
              <w:jc w:val="left"/>
              <w:rPr>
                <w:sz w:val="24"/>
              </w:rPr>
            </w:pPr>
            <w:r>
              <w:rPr>
                <w:sz w:val="36"/>
                <w:szCs w:val="36"/>
              </w:rPr>
              <w:t>□</w:t>
            </w:r>
            <w:r>
              <w:rPr>
                <w:sz w:val="24"/>
              </w:rPr>
              <w:t>新建（迁建）</w:t>
            </w:r>
          </w:p>
          <w:p>
            <w:pPr>
              <w:jc w:val="left"/>
              <w:rPr>
                <w:sz w:val="24"/>
              </w:rPr>
            </w:pPr>
            <w:r>
              <w:rPr>
                <w:sz w:val="36"/>
                <w:szCs w:val="36"/>
              </w:rPr>
              <w:t>□</w:t>
            </w:r>
            <w:r>
              <w:rPr>
                <w:sz w:val="24"/>
              </w:rPr>
              <w:t>改建</w:t>
            </w:r>
          </w:p>
          <w:p>
            <w:pPr>
              <w:jc w:val="left"/>
              <w:rPr>
                <w:sz w:val="24"/>
              </w:rPr>
            </w:pPr>
            <w:r>
              <w:rPr>
                <w:rFonts w:hint="eastAsia" w:ascii="MS Gothic" w:hAnsi="MS Gothic" w:eastAsia="MS Gothic" w:cs="MS Gothic"/>
                <w:sz w:val="24"/>
              </w:rPr>
              <w:t>☑</w:t>
            </w:r>
            <w:r>
              <w:rPr>
                <w:sz w:val="24"/>
              </w:rPr>
              <w:t>扩建</w:t>
            </w:r>
          </w:p>
          <w:p>
            <w:pPr>
              <w:jc w:val="left"/>
              <w:rPr>
                <w:sz w:val="24"/>
              </w:rPr>
            </w:pPr>
            <w:r>
              <w:rPr>
                <w:sz w:val="36"/>
                <w:szCs w:val="36"/>
              </w:rPr>
              <w:t>□</w:t>
            </w:r>
            <w:r>
              <w:rPr>
                <w:sz w:val="24"/>
              </w:rPr>
              <w:t>技术改造</w:t>
            </w:r>
          </w:p>
        </w:tc>
        <w:tc>
          <w:tcPr>
            <w:tcW w:w="1985"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2761" w:type="dxa"/>
            <w:gridSpan w:val="2"/>
            <w:vAlign w:val="center"/>
          </w:tcPr>
          <w:p>
            <w:pPr>
              <w:jc w:val="left"/>
              <w:rPr>
                <w:sz w:val="24"/>
              </w:rPr>
            </w:pPr>
            <w:r>
              <w:rPr>
                <w:rFonts w:hint="eastAsia" w:ascii="MS Gothic" w:hAnsi="MS Gothic" w:eastAsia="MS Gothic" w:cs="MS Gothic"/>
                <w:sz w:val="24"/>
              </w:rPr>
              <w:t>☑</w:t>
            </w:r>
            <w:r>
              <w:rPr>
                <w:sz w:val="24"/>
              </w:rPr>
              <w:t xml:space="preserve">首次申报项目             </w:t>
            </w:r>
          </w:p>
          <w:p>
            <w:pPr>
              <w:jc w:val="left"/>
              <w:rPr>
                <w:sz w:val="24"/>
              </w:rPr>
            </w:pPr>
            <w:r>
              <w:rPr>
                <w:sz w:val="36"/>
                <w:szCs w:val="36"/>
              </w:rPr>
              <w:t>□</w:t>
            </w:r>
            <w:r>
              <w:rPr>
                <w:sz w:val="24"/>
              </w:rPr>
              <w:t>不予批准后再次申报项目</w:t>
            </w:r>
          </w:p>
          <w:p>
            <w:pPr>
              <w:jc w:val="left"/>
              <w:rPr>
                <w:sz w:val="24"/>
              </w:rPr>
            </w:pPr>
            <w:r>
              <w:rPr>
                <w:sz w:val="36"/>
                <w:szCs w:val="36"/>
              </w:rPr>
              <w:t>□</w:t>
            </w:r>
            <w:r>
              <w:rPr>
                <w:sz w:val="24"/>
              </w:rPr>
              <w:t xml:space="preserve">超五年重新审核项目     </w:t>
            </w:r>
          </w:p>
          <w:p>
            <w:pPr>
              <w:jc w:val="left"/>
              <w:rPr>
                <w:sz w:val="24"/>
              </w:rPr>
            </w:pPr>
            <w:r>
              <w:rPr>
                <w:sz w:val="36"/>
                <w:szCs w:val="36"/>
              </w:rPr>
              <w:t>□</w:t>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备案）部门（选填）</w:t>
            </w:r>
          </w:p>
        </w:tc>
        <w:tc>
          <w:tcPr>
            <w:tcW w:w="1742" w:type="dxa"/>
            <w:gridSpan w:val="2"/>
            <w:vAlign w:val="center"/>
          </w:tcPr>
          <w:p>
            <w:pPr>
              <w:adjustRightInd w:val="0"/>
              <w:snapToGrid w:val="0"/>
              <w:jc w:val="center"/>
              <w:rPr>
                <w:sz w:val="24"/>
              </w:rPr>
            </w:pPr>
          </w:p>
        </w:tc>
        <w:tc>
          <w:tcPr>
            <w:tcW w:w="1985"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2761" w:type="dxa"/>
            <w:gridSpan w:val="2"/>
            <w:vAlign w:val="center"/>
          </w:tcPr>
          <w:p>
            <w:pPr>
              <w:adjustRightInd w:val="0"/>
              <w:snapToGrid w:val="0"/>
              <w:jc w:val="cente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总投资（万元）</w:t>
            </w:r>
          </w:p>
        </w:tc>
        <w:tc>
          <w:tcPr>
            <w:tcW w:w="1742" w:type="dxa"/>
            <w:gridSpan w:val="2"/>
            <w:vAlign w:val="center"/>
          </w:tcPr>
          <w:p>
            <w:pPr>
              <w:adjustRightInd w:val="0"/>
              <w:snapToGrid w:val="0"/>
              <w:jc w:val="center"/>
              <w:rPr>
                <w:sz w:val="24"/>
              </w:rPr>
            </w:pPr>
            <w:r>
              <w:rPr>
                <w:sz w:val="24"/>
              </w:rPr>
              <w:t>2600</w:t>
            </w:r>
          </w:p>
        </w:tc>
        <w:tc>
          <w:tcPr>
            <w:tcW w:w="1985" w:type="dxa"/>
            <w:tcMar>
              <w:top w:w="16" w:type="dxa"/>
              <w:left w:w="16" w:type="dxa"/>
              <w:right w:w="16" w:type="dxa"/>
            </w:tcMar>
            <w:vAlign w:val="center"/>
          </w:tcPr>
          <w:p>
            <w:pPr>
              <w:adjustRightInd w:val="0"/>
              <w:snapToGrid w:val="0"/>
              <w:jc w:val="center"/>
              <w:rPr>
                <w:sz w:val="24"/>
              </w:rPr>
            </w:pPr>
            <w:r>
              <w:rPr>
                <w:sz w:val="24"/>
              </w:rPr>
              <w:t>环保投资（万元）</w:t>
            </w:r>
          </w:p>
        </w:tc>
        <w:tc>
          <w:tcPr>
            <w:tcW w:w="2761" w:type="dxa"/>
            <w:gridSpan w:val="2"/>
            <w:vAlign w:val="center"/>
          </w:tcPr>
          <w:p>
            <w:pPr>
              <w:adjustRightInd w:val="0"/>
              <w:snapToGrid w:val="0"/>
              <w:jc w:val="center"/>
              <w:rPr>
                <w:sz w:val="24"/>
              </w:rPr>
            </w:pPr>
            <w:r>
              <w:rPr>
                <w:rFonts w:hint="eastAsia"/>
                <w:sz w:val="24"/>
              </w:rPr>
              <w:t>32.5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环保投资占比（%）</w:t>
            </w:r>
          </w:p>
        </w:tc>
        <w:tc>
          <w:tcPr>
            <w:tcW w:w="1742" w:type="dxa"/>
            <w:gridSpan w:val="2"/>
            <w:vAlign w:val="center"/>
          </w:tcPr>
          <w:p>
            <w:pPr>
              <w:adjustRightInd w:val="0"/>
              <w:snapToGrid w:val="0"/>
              <w:jc w:val="center"/>
              <w:rPr>
                <w:sz w:val="24"/>
              </w:rPr>
            </w:pPr>
            <w:r>
              <w:rPr>
                <w:rFonts w:hint="eastAsia"/>
                <w:sz w:val="24"/>
              </w:rPr>
              <w:t>1.25</w:t>
            </w:r>
          </w:p>
        </w:tc>
        <w:tc>
          <w:tcPr>
            <w:tcW w:w="1985" w:type="dxa"/>
            <w:tcMar>
              <w:top w:w="16" w:type="dxa"/>
              <w:left w:w="16" w:type="dxa"/>
              <w:right w:w="16" w:type="dxa"/>
            </w:tcMar>
            <w:vAlign w:val="center"/>
          </w:tcPr>
          <w:p>
            <w:pPr>
              <w:adjustRightInd w:val="0"/>
              <w:snapToGrid w:val="0"/>
              <w:jc w:val="center"/>
              <w:rPr>
                <w:sz w:val="24"/>
              </w:rPr>
            </w:pPr>
            <w:r>
              <w:rPr>
                <w:sz w:val="24"/>
              </w:rPr>
              <w:t>施工工期</w:t>
            </w:r>
          </w:p>
        </w:tc>
        <w:tc>
          <w:tcPr>
            <w:tcW w:w="2761" w:type="dxa"/>
            <w:gridSpan w:val="2"/>
            <w:vAlign w:val="center"/>
          </w:tcPr>
          <w:p>
            <w:pPr>
              <w:adjustRightInd w:val="0"/>
              <w:snapToGrid w:val="0"/>
              <w:jc w:val="center"/>
              <w:rPr>
                <w:sz w:val="24"/>
              </w:rPr>
            </w:pPr>
            <w:r>
              <w:rPr>
                <w:sz w:val="24"/>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pPr>
              <w:adjustRightInd w:val="0"/>
              <w:snapToGrid w:val="0"/>
              <w:jc w:val="center"/>
              <w:rPr>
                <w:sz w:val="24"/>
              </w:rPr>
            </w:pPr>
            <w:r>
              <w:rPr>
                <w:sz w:val="24"/>
              </w:rPr>
              <w:t>是否开工建设</w:t>
            </w:r>
          </w:p>
        </w:tc>
        <w:tc>
          <w:tcPr>
            <w:tcW w:w="1742" w:type="dxa"/>
            <w:gridSpan w:val="2"/>
            <w:vAlign w:val="center"/>
          </w:tcPr>
          <w:p>
            <w:pPr>
              <w:adjustRightInd w:val="0"/>
              <w:snapToGrid w:val="0"/>
              <w:rPr>
                <w:sz w:val="24"/>
              </w:rPr>
            </w:pPr>
            <w:r>
              <w:rPr>
                <w:rFonts w:hint="eastAsia" w:ascii="MS Gothic" w:hAnsi="MS Gothic" w:eastAsia="MS Gothic" w:cs="MS Gothic"/>
                <w:sz w:val="24"/>
              </w:rPr>
              <w:t>☑</w:t>
            </w:r>
            <w:r>
              <w:rPr>
                <w:sz w:val="24"/>
              </w:rPr>
              <w:t>否</w:t>
            </w:r>
          </w:p>
          <w:p>
            <w:pPr>
              <w:adjustRightInd w:val="0"/>
              <w:snapToGrid w:val="0"/>
              <w:rPr>
                <w:sz w:val="24"/>
              </w:rPr>
            </w:pPr>
            <w:r>
              <w:rPr>
                <w:sz w:val="24"/>
              </w:rPr>
              <w:sym w:font="Wingdings 2" w:char="00A3"/>
            </w:r>
            <w:r>
              <w:rPr>
                <w:sz w:val="24"/>
              </w:rPr>
              <w:t>是：</w:t>
            </w:r>
            <w:r>
              <w:rPr>
                <w:sz w:val="24"/>
                <w:u w:val="single"/>
              </w:rPr>
              <w:t xml:space="preserve">             </w:t>
            </w:r>
          </w:p>
        </w:tc>
        <w:tc>
          <w:tcPr>
            <w:tcW w:w="1985"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2761" w:type="dxa"/>
            <w:gridSpan w:val="2"/>
            <w:vAlign w:val="center"/>
          </w:tcPr>
          <w:p>
            <w:pPr>
              <w:adjustRightInd w:val="0"/>
              <w:snapToGrid w:val="0"/>
              <w:jc w:val="center"/>
              <w:rPr>
                <w:sz w:val="24"/>
              </w:rPr>
            </w:pPr>
            <w:r>
              <w:rPr>
                <w:sz w:val="24"/>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pPr>
              <w:autoSpaceDE w:val="0"/>
              <w:autoSpaceDN w:val="0"/>
              <w:adjustRightInd w:val="0"/>
              <w:snapToGrid w:val="0"/>
              <w:jc w:val="center"/>
              <w:rPr>
                <w:kern w:val="0"/>
                <w:sz w:val="24"/>
              </w:rPr>
            </w:pPr>
            <w:r>
              <w:rPr>
                <w:kern w:val="0"/>
                <w:sz w:val="24"/>
              </w:rPr>
              <w:t>专项评价设置情况</w:t>
            </w:r>
          </w:p>
        </w:tc>
        <w:tc>
          <w:tcPr>
            <w:tcW w:w="6488" w:type="dxa"/>
            <w:gridSpan w:val="5"/>
            <w:vAlign w:val="center"/>
          </w:tcPr>
          <w:p>
            <w:pPr>
              <w:autoSpaceDE w:val="0"/>
              <w:autoSpaceDN w:val="0"/>
              <w:adjustRightInd w:val="0"/>
              <w:snapToGrid w:val="0"/>
              <w:jc w:val="center"/>
              <w:rPr>
                <w:kern w:val="0"/>
                <w:sz w:val="24"/>
              </w:rPr>
            </w:pPr>
            <w:r>
              <w:rPr>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pPr>
              <w:autoSpaceDE w:val="0"/>
              <w:autoSpaceDN w:val="0"/>
              <w:adjustRightInd w:val="0"/>
              <w:snapToGrid w:val="0"/>
              <w:jc w:val="center"/>
              <w:rPr>
                <w:kern w:val="0"/>
                <w:sz w:val="24"/>
              </w:rPr>
            </w:pPr>
            <w:r>
              <w:rPr>
                <w:sz w:val="24"/>
              </w:rPr>
              <w:t>规划情况</w:t>
            </w:r>
          </w:p>
        </w:tc>
        <w:tc>
          <w:tcPr>
            <w:tcW w:w="6488" w:type="dxa"/>
            <w:gridSpan w:val="5"/>
            <w:vAlign w:val="center"/>
          </w:tcPr>
          <w:p>
            <w:pPr>
              <w:autoSpaceDE w:val="0"/>
              <w:autoSpaceDN w:val="0"/>
              <w:adjustRightInd w:val="0"/>
              <w:snapToGrid w:val="0"/>
              <w:jc w:val="center"/>
              <w:rPr>
                <w:kern w:val="0"/>
                <w:sz w:val="24"/>
              </w:rPr>
            </w:pPr>
            <w:r>
              <w:rPr>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pPr>
              <w:adjustRightInd w:val="0"/>
              <w:snapToGrid w:val="0"/>
              <w:jc w:val="center"/>
              <w:rPr>
                <w:sz w:val="24"/>
              </w:rPr>
            </w:pPr>
            <w:r>
              <w:rPr>
                <w:sz w:val="24"/>
              </w:rPr>
              <w:t>规划环境影响</w:t>
            </w:r>
          </w:p>
          <w:p>
            <w:pPr>
              <w:adjustRightInd w:val="0"/>
              <w:snapToGrid w:val="0"/>
              <w:jc w:val="center"/>
              <w:rPr>
                <w:kern w:val="0"/>
                <w:sz w:val="24"/>
              </w:rPr>
            </w:pPr>
            <w:r>
              <w:rPr>
                <w:sz w:val="24"/>
              </w:rPr>
              <w:t>评价情况</w:t>
            </w:r>
          </w:p>
        </w:tc>
        <w:tc>
          <w:tcPr>
            <w:tcW w:w="6488" w:type="dxa"/>
            <w:gridSpan w:val="5"/>
            <w:vAlign w:val="center"/>
          </w:tcPr>
          <w:p>
            <w:pPr>
              <w:autoSpaceDE w:val="0"/>
              <w:autoSpaceDN w:val="0"/>
              <w:adjustRightInd w:val="0"/>
              <w:snapToGrid w:val="0"/>
              <w:jc w:val="center"/>
              <w:rPr>
                <w:kern w:val="0"/>
                <w:sz w:val="24"/>
              </w:rPr>
            </w:pPr>
            <w:r>
              <w:rPr>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pPr>
              <w:autoSpaceDE w:val="0"/>
              <w:autoSpaceDN w:val="0"/>
              <w:adjustRightInd w:val="0"/>
              <w:snapToGrid w:val="0"/>
              <w:jc w:val="center"/>
              <w:rPr>
                <w:kern w:val="0"/>
                <w:sz w:val="24"/>
              </w:rPr>
            </w:pPr>
            <w:r>
              <w:rPr>
                <w:kern w:val="0"/>
                <w:sz w:val="24"/>
              </w:rPr>
              <w:t>规划及规划环境</w:t>
            </w:r>
          </w:p>
          <w:p>
            <w:pPr>
              <w:autoSpaceDE w:val="0"/>
              <w:autoSpaceDN w:val="0"/>
              <w:adjustRightInd w:val="0"/>
              <w:snapToGrid w:val="0"/>
              <w:jc w:val="center"/>
              <w:rPr>
                <w:kern w:val="0"/>
                <w:sz w:val="24"/>
              </w:rPr>
            </w:pPr>
            <w:r>
              <w:rPr>
                <w:kern w:val="0"/>
                <w:sz w:val="24"/>
              </w:rPr>
              <w:t>影响评价符合性分析</w:t>
            </w:r>
          </w:p>
        </w:tc>
        <w:tc>
          <w:tcPr>
            <w:tcW w:w="6488" w:type="dxa"/>
            <w:gridSpan w:val="5"/>
            <w:vAlign w:val="center"/>
          </w:tcPr>
          <w:p>
            <w:pPr>
              <w:autoSpaceDE w:val="0"/>
              <w:autoSpaceDN w:val="0"/>
              <w:adjustRightInd w:val="0"/>
              <w:snapToGrid w:val="0"/>
              <w:jc w:val="center"/>
              <w:rPr>
                <w:kern w:val="0"/>
                <w:sz w:val="24"/>
              </w:rPr>
            </w:pPr>
            <w:r>
              <w:rPr>
                <w:kern w:val="0"/>
                <w:sz w:val="24"/>
              </w:rPr>
              <w:t>无</w:t>
            </w:r>
          </w:p>
        </w:tc>
      </w:tr>
    </w:tbl>
    <w:p>
      <w:pPr>
        <w:autoSpaceDE w:val="0"/>
        <w:autoSpaceDN w:val="0"/>
        <w:adjustRightInd w:val="0"/>
        <w:snapToGrid w:val="0"/>
        <w:jc w:val="center"/>
        <w:rPr>
          <w:kern w:val="0"/>
          <w:szCs w:val="21"/>
        </w:rPr>
        <w:sectPr>
          <w:footerReference r:id="rId6" w:type="default"/>
          <w:pgSz w:w="11906" w:h="16838"/>
          <w:pgMar w:top="1701" w:right="1531" w:bottom="1701" w:left="1531" w:header="851" w:footer="1077" w:gutter="0"/>
          <w:pgNumType w:start="1"/>
          <w:cols w:space="720" w:num="1"/>
          <w:docGrid w:linePitch="312" w:charSpace="0"/>
        </w:sectPr>
      </w:pPr>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382"/>
        <w:gridCol w:w="64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71" w:hRule="atLeast"/>
          <w:jc w:val="center"/>
        </w:trPr>
        <w:tc>
          <w:tcPr>
            <w:tcW w:w="2382" w:type="dxa"/>
            <w:vAlign w:val="center"/>
          </w:tcPr>
          <w:p>
            <w:pPr>
              <w:autoSpaceDE w:val="0"/>
              <w:autoSpaceDN w:val="0"/>
              <w:adjustRightInd w:val="0"/>
              <w:snapToGrid w:val="0"/>
              <w:jc w:val="center"/>
              <w:rPr>
                <w:kern w:val="0"/>
                <w:szCs w:val="21"/>
              </w:rPr>
            </w:pPr>
            <w:r>
              <w:rPr>
                <w:kern w:val="0"/>
                <w:sz w:val="24"/>
              </w:rPr>
              <w:t>其他符合性分析</w:t>
            </w:r>
          </w:p>
        </w:tc>
        <w:tc>
          <w:tcPr>
            <w:tcW w:w="6488" w:type="dxa"/>
            <w:vAlign w:val="center"/>
          </w:tcPr>
          <w:p>
            <w:pPr>
              <w:autoSpaceDE w:val="0"/>
              <w:autoSpaceDN w:val="0"/>
              <w:adjustRightInd w:val="0"/>
              <w:spacing w:line="360" w:lineRule="auto"/>
              <w:ind w:firstLine="482"/>
              <w:rPr>
                <w:bCs/>
                <w:sz w:val="24"/>
                <w:szCs w:val="32"/>
              </w:rPr>
            </w:pPr>
            <w:r>
              <w:rPr>
                <w:bCs/>
                <w:sz w:val="24"/>
                <w:szCs w:val="32"/>
              </w:rPr>
              <w:t>1、政策符合性分析</w:t>
            </w:r>
          </w:p>
          <w:p>
            <w:pPr>
              <w:pStyle w:val="23"/>
              <w:spacing w:line="360" w:lineRule="auto"/>
              <w:ind w:firstLine="496" w:firstLineChars="200"/>
              <w:rPr>
                <w:rFonts w:ascii="Times New Roman" w:eastAsia="宋体" w:cs="Times New Roman"/>
                <w:color w:val="auto"/>
                <w:szCs w:val="20"/>
              </w:rPr>
            </w:pPr>
            <w:r>
              <w:rPr>
                <w:rFonts w:ascii="Times New Roman" w:eastAsia="宋体" w:cs="Times New Roman"/>
                <w:color w:val="auto"/>
                <w:szCs w:val="20"/>
              </w:rPr>
              <w:t>本项目为年产3000吨锻件、法兰生产线扩建项目。</w:t>
            </w:r>
            <w:r>
              <w:rPr>
                <w:rFonts w:ascii="Times New Roman" w:eastAsia="宋体" w:cs="Times New Roman"/>
                <w:color w:val="auto"/>
              </w:rPr>
              <w:t>根据《产业结构调整指导目录》（2019年本），本项目不属于鼓励类、限制类和淘汰类。确定本项目为允许类，项目符合国家产业政策的要求。</w:t>
            </w:r>
          </w:p>
          <w:p>
            <w:pPr>
              <w:autoSpaceDE w:val="0"/>
              <w:autoSpaceDN w:val="0"/>
              <w:adjustRightInd w:val="0"/>
              <w:spacing w:line="360" w:lineRule="auto"/>
              <w:ind w:firstLine="482"/>
              <w:rPr>
                <w:bCs/>
                <w:sz w:val="24"/>
                <w:szCs w:val="32"/>
              </w:rPr>
            </w:pPr>
            <w:r>
              <w:rPr>
                <w:bCs/>
                <w:sz w:val="24"/>
                <w:szCs w:val="32"/>
              </w:rPr>
              <w:t>2、规划符合性分析</w:t>
            </w:r>
          </w:p>
          <w:p>
            <w:pPr>
              <w:pStyle w:val="22"/>
              <w:numPr>
                <w:ilvl w:val="0"/>
                <w:numId w:val="1"/>
              </w:numPr>
              <w:spacing w:line="360" w:lineRule="auto"/>
              <w:ind w:left="1" w:firstLine="498" w:firstLineChars="201"/>
              <w:rPr>
                <w:rFonts w:ascii="Times New Roman" w:hAnsi="Times New Roman" w:cs="Times New Roman"/>
                <w:bCs/>
                <w:color w:val="auto"/>
                <w:spacing w:val="4"/>
                <w:kern w:val="2"/>
              </w:rPr>
            </w:pPr>
            <w:r>
              <w:rPr>
                <w:rFonts w:ascii="Times New Roman" w:hAnsi="Times New Roman" w:cs="Times New Roman"/>
                <w:bCs/>
                <w:color w:val="auto"/>
                <w:spacing w:val="4"/>
                <w:kern w:val="2"/>
              </w:rPr>
              <w:t>山西省主体功能区划</w:t>
            </w:r>
          </w:p>
          <w:p>
            <w:pPr>
              <w:pStyle w:val="22"/>
              <w:spacing w:line="360" w:lineRule="auto"/>
              <w:ind w:firstLine="480" w:firstLineChars="200"/>
              <w:rPr>
                <w:rFonts w:ascii="Times New Roman" w:hAnsi="Times New Roman" w:cs="Times New Roman"/>
                <w:color w:val="auto"/>
              </w:rPr>
            </w:pPr>
            <w:r>
              <w:rPr>
                <w:rFonts w:ascii="Times New Roman" w:hAnsi="Times New Roman" w:cs="Times New Roman"/>
                <w:color w:val="auto"/>
              </w:rPr>
              <w:t>山西省主体功能区划分为国家级和省级两个层级，分别包括重点开发区域、限制开发的农产品主产区、限制开发的重点生态功能区和禁止开发区域四类区域，本项目位于省级限制开发的农产品主产区——滹沱河河谷盆地农产品主产区。</w:t>
            </w:r>
          </w:p>
          <w:p>
            <w:pPr>
              <w:pStyle w:val="22"/>
              <w:spacing w:line="360" w:lineRule="auto"/>
              <w:ind w:firstLine="480" w:firstLineChars="200"/>
              <w:rPr>
                <w:rFonts w:ascii="Times New Roman" w:hAnsi="Times New Roman" w:cs="Times New Roman"/>
                <w:color w:val="auto"/>
              </w:rPr>
            </w:pPr>
            <w:r>
              <w:rPr>
                <w:rFonts w:ascii="Times New Roman" w:hAnsi="Times New Roman" w:cs="Times New Roman"/>
                <w:color w:val="auto"/>
              </w:rPr>
              <w:t>该区发展的方向为：</w:t>
            </w:r>
            <w:r>
              <w:rPr>
                <w:rFonts w:hint="eastAsia" w:ascii="宋体" w:hAnsi="宋体" w:cs="宋体"/>
                <w:color w:val="auto"/>
              </w:rPr>
              <w:t>①</w:t>
            </w:r>
            <w:r>
              <w:rPr>
                <w:rFonts w:ascii="Times New Roman" w:hAnsi="Times New Roman" w:cs="Times New Roman"/>
                <w:color w:val="auto"/>
              </w:rPr>
              <w:t>重点发展以加工专用、粮饲兼用和特种玉米为主的粮食生产、油料作物生产和养殖业生产；</w:t>
            </w:r>
            <w:r>
              <w:rPr>
                <w:rFonts w:hint="eastAsia" w:ascii="宋体" w:hAnsi="宋体" w:cs="宋体"/>
                <w:color w:val="auto"/>
              </w:rPr>
              <w:t>②</w:t>
            </w:r>
            <w:r>
              <w:rPr>
                <w:rFonts w:ascii="Times New Roman" w:hAnsi="Times New Roman" w:cs="Times New Roman"/>
                <w:color w:val="auto"/>
              </w:rPr>
              <w:t>推广优势农产品生产、优质杂粮生产、优质水果种植以及特色农产品生产；</w:t>
            </w:r>
            <w:r>
              <w:rPr>
                <w:rFonts w:hint="eastAsia" w:ascii="宋体" w:hAnsi="宋体" w:cs="宋体"/>
                <w:color w:val="auto"/>
              </w:rPr>
              <w:t>③</w:t>
            </w:r>
            <w:r>
              <w:rPr>
                <w:rFonts w:ascii="Times New Roman" w:hAnsi="Times New Roman" w:cs="Times New Roman"/>
                <w:color w:val="auto"/>
              </w:rPr>
              <w:t>适度推进条件较好县城的城镇化进程，完善服务功能，引导人口集中和产业聚集；</w:t>
            </w:r>
            <w:r>
              <w:rPr>
                <w:rFonts w:hint="eastAsia" w:ascii="宋体" w:hAnsi="宋体" w:cs="宋体"/>
                <w:color w:val="auto"/>
              </w:rPr>
              <w:t>④</w:t>
            </w:r>
            <w:r>
              <w:rPr>
                <w:rFonts w:ascii="Times New Roman" w:hAnsi="Times New Roman" w:cs="Times New Roman"/>
                <w:color w:val="auto"/>
              </w:rPr>
              <w:t>加大中低田改造和盐碱化耕地综合治理力度，进一步提升耕地质量，逐步退出陡坡耕地；</w:t>
            </w:r>
            <w:r>
              <w:rPr>
                <w:rFonts w:hint="eastAsia" w:ascii="宋体" w:hAnsi="宋体" w:cs="宋体"/>
                <w:color w:val="auto"/>
              </w:rPr>
              <w:t>⑤</w:t>
            </w:r>
            <w:r>
              <w:rPr>
                <w:rFonts w:ascii="Times New Roman" w:hAnsi="Times New Roman" w:cs="Times New Roman"/>
                <w:color w:val="auto"/>
              </w:rPr>
              <w:t>保护五台山、云中山等地的森林植被，禁止毁林毁草开垦，控制以煤炭资源为主的能矿资源开采无序蔓延，加大矿山修复治理力度。</w:t>
            </w:r>
          </w:p>
          <w:p>
            <w:pPr>
              <w:pStyle w:val="22"/>
              <w:spacing w:line="360" w:lineRule="auto"/>
              <w:ind w:firstLine="480" w:firstLineChars="200"/>
              <w:rPr>
                <w:rFonts w:ascii="Times New Roman" w:hAnsi="Times New Roman" w:cs="Times New Roman"/>
                <w:color w:val="auto"/>
              </w:rPr>
            </w:pPr>
            <w:r>
              <w:rPr>
                <w:rFonts w:ascii="Times New Roman" w:hAnsi="Times New Roman" w:cs="Times New Roman"/>
                <w:color w:val="auto"/>
              </w:rPr>
              <w:t>本项目位于留晖工业聚集区，项目建设不</w:t>
            </w:r>
            <w:r>
              <w:rPr>
                <w:rFonts w:hint="eastAsia" w:ascii="Times New Roman" w:hAnsi="Times New Roman" w:cs="Times New Roman"/>
                <w:color w:val="auto"/>
              </w:rPr>
              <w:t>新增占地</w:t>
            </w:r>
            <w:r>
              <w:rPr>
                <w:rFonts w:ascii="Times New Roman" w:hAnsi="Times New Roman" w:cs="Times New Roman"/>
                <w:color w:val="auto"/>
              </w:rPr>
              <w:t>，污染物采取合理有效的措施后，与扩建前相比较明显的减少</w:t>
            </w:r>
            <w:r>
              <w:rPr>
                <w:rFonts w:hint="eastAsia" w:ascii="Times New Roman" w:hAnsi="Times New Roman" w:cs="Times New Roman"/>
                <w:color w:val="auto"/>
              </w:rPr>
              <w:t>，并</w:t>
            </w:r>
            <w:r>
              <w:rPr>
                <w:rFonts w:ascii="Times New Roman" w:hAnsi="Times New Roman" w:cs="Times New Roman"/>
                <w:color w:val="auto"/>
              </w:rPr>
              <w:t>且可以实现污染物的达标排放，对周围影响有改善作用，符合《山西省主体功能区划》的要求。</w:t>
            </w:r>
          </w:p>
          <w:p>
            <w:pPr>
              <w:pStyle w:val="22"/>
              <w:numPr>
                <w:ilvl w:val="0"/>
                <w:numId w:val="1"/>
              </w:numPr>
              <w:spacing w:line="360" w:lineRule="auto"/>
              <w:ind w:left="1" w:firstLine="498" w:firstLineChars="201"/>
              <w:rPr>
                <w:rFonts w:ascii="Times New Roman" w:hAnsi="Times New Roman" w:cs="Times New Roman"/>
                <w:bCs/>
                <w:color w:val="auto"/>
                <w:spacing w:val="4"/>
                <w:kern w:val="2"/>
              </w:rPr>
            </w:pPr>
            <w:r>
              <w:rPr>
                <w:rFonts w:ascii="Times New Roman" w:hAnsi="Times New Roman" w:cs="Times New Roman"/>
                <w:bCs/>
                <w:color w:val="auto"/>
                <w:spacing w:val="4"/>
                <w:kern w:val="2"/>
              </w:rPr>
              <w:t>定襄县生态功能区划</w:t>
            </w:r>
          </w:p>
          <w:p>
            <w:pPr>
              <w:pStyle w:val="22"/>
              <w:spacing w:line="360" w:lineRule="auto"/>
              <w:ind w:firstLine="480" w:firstLineChars="200"/>
              <w:rPr>
                <w:rFonts w:ascii="Times New Roman" w:hAnsi="Times New Roman" w:cs="Times New Roman"/>
                <w:bCs/>
                <w:color w:val="auto"/>
                <w:spacing w:val="4"/>
                <w:kern w:val="2"/>
              </w:rPr>
            </w:pPr>
            <w:r>
              <w:rPr>
                <w:rFonts w:ascii="Times New Roman" w:hAnsi="Times New Roman" w:cs="Times New Roman"/>
                <w:color w:val="auto"/>
              </w:rPr>
              <w:t>根据《定襄县生态功能区划》，项目位于</w:t>
            </w:r>
            <w:r>
              <w:rPr>
                <w:rFonts w:ascii="Times New Roman" w:hAnsi="Times New Roman" w:cs="Times New Roman"/>
                <w:bCs/>
                <w:color w:val="auto"/>
                <w:spacing w:val="4"/>
                <w:kern w:val="2"/>
              </w:rPr>
              <w:t>I</w:t>
            </w:r>
            <w:r>
              <w:rPr>
                <w:rFonts w:ascii="Times New Roman" w:hAnsi="Times New Roman" w:cs="Times New Roman"/>
                <w:bCs/>
                <w:color w:val="auto"/>
                <w:spacing w:val="4"/>
                <w:kern w:val="2"/>
                <w:vertAlign w:val="subscript"/>
              </w:rPr>
              <w:t>1</w:t>
            </w:r>
            <w:r>
              <w:rPr>
                <w:rFonts w:ascii="Times New Roman" w:hAnsi="Times New Roman" w:cs="Times New Roman"/>
                <w:bCs/>
                <w:color w:val="auto"/>
                <w:spacing w:val="4"/>
                <w:kern w:val="2"/>
              </w:rPr>
              <w:t>定襄盆地水土保持生态功能小区。该区的主要生态环境问题：</w:t>
            </w:r>
            <w:r>
              <w:rPr>
                <w:rFonts w:hint="eastAsia" w:ascii="宋体" w:hAnsi="宋体" w:cs="宋体"/>
                <w:bCs/>
                <w:color w:val="auto"/>
                <w:spacing w:val="4"/>
                <w:kern w:val="2"/>
              </w:rPr>
              <w:t>①</w:t>
            </w:r>
            <w:r>
              <w:rPr>
                <w:rFonts w:ascii="Times New Roman" w:hAnsi="Times New Roman" w:cs="Times New Roman"/>
                <w:bCs/>
                <w:color w:val="auto"/>
                <w:spacing w:val="4"/>
                <w:kern w:val="2"/>
              </w:rPr>
              <w:t>农牧业生产活动仍存在蚕食植被现象，造成水土流失；</w:t>
            </w:r>
            <w:r>
              <w:rPr>
                <w:rFonts w:hint="eastAsia" w:ascii="宋体" w:hAnsi="宋体" w:cs="宋体"/>
                <w:bCs/>
                <w:color w:val="auto"/>
                <w:spacing w:val="4"/>
                <w:kern w:val="2"/>
              </w:rPr>
              <w:t>②</w:t>
            </w:r>
            <w:r>
              <w:rPr>
                <w:rFonts w:ascii="Times New Roman" w:hAnsi="Times New Roman" w:cs="Times New Roman"/>
                <w:bCs/>
                <w:color w:val="auto"/>
                <w:spacing w:val="4"/>
                <w:kern w:val="2"/>
              </w:rPr>
              <w:t>天然和人为的火灾烧毁草灌植被；</w:t>
            </w:r>
            <w:r>
              <w:rPr>
                <w:rFonts w:hint="eastAsia" w:ascii="宋体" w:hAnsi="宋体" w:cs="宋体"/>
                <w:bCs/>
                <w:color w:val="auto"/>
                <w:spacing w:val="4"/>
                <w:kern w:val="2"/>
              </w:rPr>
              <w:t>③</w:t>
            </w:r>
            <w:r>
              <w:rPr>
                <w:rFonts w:ascii="Times New Roman" w:hAnsi="Times New Roman" w:cs="Times New Roman"/>
                <w:bCs/>
                <w:color w:val="auto"/>
                <w:spacing w:val="4"/>
                <w:kern w:val="2"/>
              </w:rPr>
              <w:t>农牧业生产和居民生活过程中弃物的随意乱倒和堆故对农村生态环境产生影响；</w:t>
            </w:r>
            <w:r>
              <w:rPr>
                <w:rFonts w:hint="eastAsia" w:ascii="宋体" w:hAnsi="宋体" w:cs="宋体"/>
                <w:bCs/>
                <w:color w:val="auto"/>
                <w:spacing w:val="4"/>
                <w:kern w:val="2"/>
              </w:rPr>
              <w:t>④</w:t>
            </w:r>
            <w:r>
              <w:rPr>
                <w:rFonts w:ascii="Times New Roman" w:hAnsi="Times New Roman" w:cs="Times New Roman"/>
                <w:bCs/>
                <w:color w:val="auto"/>
                <w:spacing w:val="4"/>
                <w:kern w:val="2"/>
              </w:rPr>
              <w:t>畜禽散养和农业生产活动破坏植被，造成水土流失现象，水土流失降低土壤的服务功能；</w:t>
            </w:r>
            <w:r>
              <w:rPr>
                <w:rFonts w:hint="eastAsia" w:ascii="宋体" w:hAnsi="宋体" w:cs="宋体"/>
                <w:bCs/>
                <w:color w:val="auto"/>
                <w:spacing w:val="4"/>
                <w:kern w:val="2"/>
              </w:rPr>
              <w:t>⑤</w:t>
            </w:r>
            <w:r>
              <w:rPr>
                <w:rFonts w:ascii="Times New Roman" w:hAnsi="Times New Roman" w:cs="Times New Roman"/>
                <w:bCs/>
                <w:color w:val="auto"/>
                <w:spacing w:val="4"/>
                <w:kern w:val="2"/>
              </w:rPr>
              <w:t>农村居民区生活废弃物的排放和畜禽养殖产生的粪便对农村生态环境的污染。水源保护区周边居民生活和农业生产过程中产生的废弃物随意乱倒和堆放对饮用水源的水质产生影响。</w:t>
            </w:r>
          </w:p>
          <w:p>
            <w:pPr>
              <w:pStyle w:val="22"/>
              <w:spacing w:line="360" w:lineRule="auto"/>
              <w:ind w:firstLine="496" w:firstLineChars="200"/>
              <w:rPr>
                <w:rFonts w:ascii="Times New Roman" w:hAnsi="Times New Roman" w:cs="Times New Roman"/>
                <w:bCs/>
                <w:color w:val="auto"/>
                <w:spacing w:val="4"/>
                <w:kern w:val="2"/>
              </w:rPr>
            </w:pPr>
            <w:r>
              <w:rPr>
                <w:rFonts w:ascii="Times New Roman" w:hAnsi="Times New Roman" w:cs="Times New Roman"/>
                <w:bCs/>
                <w:color w:val="auto"/>
                <w:spacing w:val="4"/>
                <w:kern w:val="2"/>
              </w:rPr>
              <w:t>该区生态系统的保护措施：</w:t>
            </w:r>
            <w:r>
              <w:rPr>
                <w:rFonts w:hint="eastAsia" w:ascii="宋体" w:hAnsi="宋体" w:cs="宋体"/>
                <w:bCs/>
                <w:color w:val="auto"/>
                <w:spacing w:val="4"/>
                <w:kern w:val="2"/>
              </w:rPr>
              <w:t>①</w:t>
            </w:r>
            <w:r>
              <w:rPr>
                <w:rFonts w:ascii="Times New Roman" w:hAnsi="Times New Roman" w:cs="Times New Roman"/>
                <w:bCs/>
                <w:color w:val="auto"/>
                <w:spacing w:val="4"/>
                <w:kern w:val="2"/>
              </w:rPr>
              <w:t>对现有林地和草地进行补植补造，并加强管护进行合理的采伐和放牧；</w:t>
            </w:r>
            <w:r>
              <w:rPr>
                <w:rFonts w:hint="eastAsia" w:ascii="宋体" w:hAnsi="宋体" w:cs="宋体"/>
                <w:bCs/>
                <w:color w:val="auto"/>
                <w:spacing w:val="4"/>
                <w:kern w:val="2"/>
              </w:rPr>
              <w:t>②</w:t>
            </w:r>
            <w:r>
              <w:rPr>
                <w:rFonts w:ascii="Times New Roman" w:hAnsi="Times New Roman" w:cs="Times New Roman"/>
                <w:bCs/>
                <w:color w:val="auto"/>
                <w:spacing w:val="4"/>
                <w:kern w:val="2"/>
              </w:rPr>
              <w:t>对于水土流失相对较重的区域，实施小流域治理和植树造林等生态恢复工程，注重效果，对已完成的工程要加大管护力度；</w:t>
            </w:r>
            <w:r>
              <w:rPr>
                <w:rFonts w:hint="eastAsia" w:ascii="宋体" w:hAnsi="宋体" w:cs="宋体"/>
                <w:bCs/>
                <w:color w:val="auto"/>
                <w:spacing w:val="4"/>
                <w:kern w:val="2"/>
              </w:rPr>
              <w:t>③</w:t>
            </w:r>
            <w:r>
              <w:rPr>
                <w:rFonts w:ascii="Times New Roman" w:hAnsi="Times New Roman" w:cs="Times New Roman"/>
                <w:bCs/>
                <w:color w:val="auto"/>
                <w:spacing w:val="4"/>
                <w:kern w:val="2"/>
              </w:rPr>
              <w:t>科学实施种植养殖业，秸秆机械粉碎后还田；经生物菌腐化秸秆后，沤制有机肥；秸秆青贮，氨化后发展无粮饲料，利用商牧业粪便生产、发展沼气、太阳能等清洁能源产业。以此解决流域内居民生产生活污染潜在的环境问题，保证流域能持续的维系良好的自然生态环境。</w:t>
            </w:r>
          </w:p>
          <w:p>
            <w:pPr>
              <w:adjustRightInd w:val="0"/>
              <w:spacing w:line="360" w:lineRule="auto"/>
              <w:ind w:firstLine="480" w:firstLineChars="200"/>
              <w:rPr>
                <w:highlight w:val="yellow"/>
              </w:rPr>
            </w:pPr>
            <w:r>
              <w:rPr>
                <w:sz w:val="24"/>
              </w:rPr>
              <w:t>项目为金属制品加工项目，生产过程中不产生废水，无外排，不会对区域地表水产生威胁；厂区采取了绿化硬化等水土保持措施，对水土流失影响较小，不会对生态环境造成破坏，故符合定襄县生态功能区划。</w:t>
            </w:r>
          </w:p>
          <w:p>
            <w:pPr>
              <w:pStyle w:val="22"/>
              <w:numPr>
                <w:ilvl w:val="0"/>
                <w:numId w:val="1"/>
              </w:numPr>
              <w:spacing w:line="360" w:lineRule="auto"/>
              <w:ind w:left="1" w:firstLine="498" w:firstLineChars="201"/>
              <w:rPr>
                <w:rFonts w:ascii="Times New Roman" w:hAnsi="Times New Roman" w:cs="Times New Roman"/>
                <w:bCs/>
                <w:color w:val="auto"/>
                <w:spacing w:val="4"/>
                <w:kern w:val="2"/>
              </w:rPr>
            </w:pPr>
            <w:r>
              <w:rPr>
                <w:rFonts w:ascii="Times New Roman" w:hAnsi="Times New Roman" w:cs="Times New Roman"/>
                <w:bCs/>
                <w:color w:val="auto"/>
                <w:spacing w:val="4"/>
                <w:kern w:val="2"/>
              </w:rPr>
              <w:t>定襄县生态经济区划</w:t>
            </w:r>
          </w:p>
          <w:p>
            <w:pPr>
              <w:pStyle w:val="22"/>
              <w:spacing w:line="360" w:lineRule="auto"/>
              <w:ind w:firstLine="496" w:firstLineChars="200"/>
              <w:rPr>
                <w:rFonts w:ascii="Times New Roman" w:hAnsi="Times New Roman" w:cs="Times New Roman"/>
                <w:color w:val="auto"/>
              </w:rPr>
            </w:pPr>
            <w:r>
              <w:rPr>
                <w:rFonts w:ascii="Times New Roman" w:hAnsi="Times New Roman" w:cs="Times New Roman"/>
                <w:bCs/>
                <w:color w:val="auto"/>
                <w:spacing w:val="4"/>
                <w:kern w:val="2"/>
              </w:rPr>
              <w:t>根据</w:t>
            </w:r>
            <w:r>
              <w:rPr>
                <w:rFonts w:ascii="Times New Roman" w:hAnsi="Times New Roman" w:cs="Times New Roman"/>
                <w:color w:val="auto"/>
              </w:rPr>
              <w:t>《定襄县生态经济区划》，本项目位于Ⅱ</w:t>
            </w:r>
            <w:r>
              <w:rPr>
                <w:rFonts w:ascii="Times New Roman" w:hAnsi="Times New Roman" w:cs="Times New Roman"/>
                <w:color w:val="auto"/>
                <w:vertAlign w:val="subscript"/>
              </w:rPr>
              <w:t>2</w:t>
            </w:r>
            <w:r>
              <w:rPr>
                <w:rFonts w:ascii="Times New Roman" w:hAnsi="Times New Roman" w:cs="Times New Roman"/>
                <w:color w:val="auto"/>
              </w:rPr>
              <w:t>定襄县西部工业经济区。</w:t>
            </w:r>
          </w:p>
          <w:p>
            <w:pPr>
              <w:pStyle w:val="22"/>
              <w:spacing w:line="360" w:lineRule="auto"/>
              <w:ind w:firstLine="496" w:firstLineChars="200"/>
              <w:rPr>
                <w:rFonts w:ascii="Times New Roman" w:hAnsi="Times New Roman" w:cs="Times New Roman"/>
                <w:bCs/>
                <w:color w:val="auto"/>
                <w:spacing w:val="4"/>
                <w:kern w:val="2"/>
              </w:rPr>
            </w:pPr>
            <w:r>
              <w:rPr>
                <w:rFonts w:ascii="Times New Roman" w:hAnsi="Times New Roman" w:cs="Times New Roman"/>
                <w:bCs/>
                <w:color w:val="auto"/>
                <w:spacing w:val="4"/>
                <w:kern w:val="2"/>
              </w:rPr>
              <w:t>该区发展方向：</w:t>
            </w:r>
            <w:r>
              <w:rPr>
                <w:rFonts w:hint="eastAsia" w:ascii="宋体" w:hAnsi="宋体" w:cs="宋体"/>
                <w:bCs/>
                <w:color w:val="auto"/>
                <w:spacing w:val="4"/>
                <w:kern w:val="2"/>
              </w:rPr>
              <w:t>①</w:t>
            </w:r>
            <w:r>
              <w:rPr>
                <w:rFonts w:ascii="Times New Roman" w:hAnsi="Times New Roman" w:cs="Times New Roman"/>
                <w:bCs/>
                <w:color w:val="auto"/>
                <w:spacing w:val="4"/>
                <w:kern w:val="2"/>
              </w:rPr>
              <w:t>鼓励发展有本地特色的锻造加工制造业；</w:t>
            </w:r>
            <w:r>
              <w:rPr>
                <w:rFonts w:hint="eastAsia" w:ascii="宋体" w:hAnsi="宋体" w:cs="宋体"/>
                <w:bCs/>
                <w:color w:val="auto"/>
                <w:spacing w:val="4"/>
                <w:kern w:val="2"/>
              </w:rPr>
              <w:t>②</w:t>
            </w:r>
            <w:r>
              <w:rPr>
                <w:rFonts w:ascii="Times New Roman" w:hAnsi="Times New Roman" w:cs="Times New Roman"/>
                <w:bCs/>
                <w:color w:val="auto"/>
                <w:spacing w:val="4"/>
                <w:kern w:val="2"/>
              </w:rPr>
              <w:t>鼓励发展农牧产业加工业，打造特色农业品牌。</w:t>
            </w:r>
          </w:p>
          <w:p>
            <w:pPr>
              <w:pStyle w:val="22"/>
              <w:spacing w:line="360" w:lineRule="auto"/>
              <w:ind w:firstLine="496" w:firstLineChars="200"/>
              <w:rPr>
                <w:rFonts w:ascii="Times New Roman" w:hAnsi="Times New Roman" w:cs="Times New Roman"/>
                <w:bCs/>
                <w:color w:val="auto"/>
                <w:spacing w:val="4"/>
                <w:kern w:val="2"/>
              </w:rPr>
            </w:pPr>
            <w:r>
              <w:rPr>
                <w:rFonts w:ascii="Times New Roman" w:hAnsi="Times New Roman" w:cs="Times New Roman"/>
                <w:bCs/>
                <w:color w:val="auto"/>
                <w:spacing w:val="4"/>
                <w:kern w:val="2"/>
              </w:rPr>
              <w:t>生态环境保护要求：</w:t>
            </w:r>
            <w:r>
              <w:rPr>
                <w:rFonts w:hint="eastAsia" w:ascii="宋体" w:hAnsi="宋体" w:cs="宋体"/>
                <w:bCs/>
                <w:color w:val="auto"/>
                <w:spacing w:val="4"/>
                <w:kern w:val="2"/>
              </w:rPr>
              <w:t>①</w:t>
            </w:r>
            <w:r>
              <w:rPr>
                <w:rFonts w:ascii="Times New Roman" w:hAnsi="Times New Roman" w:cs="Times New Roman"/>
                <w:bCs/>
                <w:color w:val="auto"/>
                <w:spacing w:val="4"/>
                <w:kern w:val="2"/>
              </w:rPr>
              <w:t>合理布局优化组合发展集约化、规模化、生态化的建材、铸造等产业经济；</w:t>
            </w:r>
            <w:r>
              <w:rPr>
                <w:rFonts w:hint="eastAsia" w:ascii="宋体" w:hAnsi="宋体" w:cs="宋体"/>
                <w:bCs/>
                <w:color w:val="auto"/>
                <w:spacing w:val="4"/>
                <w:kern w:val="2"/>
              </w:rPr>
              <w:t>②</w:t>
            </w:r>
            <w:r>
              <w:rPr>
                <w:rFonts w:ascii="Times New Roman" w:hAnsi="Times New Roman" w:cs="Times New Roman"/>
                <w:bCs/>
                <w:color w:val="auto"/>
                <w:spacing w:val="4"/>
                <w:kern w:val="2"/>
              </w:rPr>
              <w:t>对滹沱河沿岸实施高标准的绿化美化，加强植草、植树护岸林带建设；</w:t>
            </w:r>
            <w:r>
              <w:rPr>
                <w:rFonts w:hint="eastAsia" w:ascii="宋体" w:hAnsi="宋体" w:cs="宋体"/>
                <w:bCs/>
                <w:color w:val="auto"/>
                <w:spacing w:val="4"/>
                <w:kern w:val="2"/>
              </w:rPr>
              <w:t>③</w:t>
            </w:r>
            <w:r>
              <w:rPr>
                <w:rFonts w:ascii="Times New Roman" w:hAnsi="Times New Roman" w:cs="Times New Roman"/>
                <w:bCs/>
                <w:color w:val="auto"/>
                <w:spacing w:val="4"/>
                <w:kern w:val="2"/>
              </w:rPr>
              <w:t>加快区内排污管网和垃圾无害化处置场建设。</w:t>
            </w:r>
          </w:p>
          <w:p>
            <w:pPr>
              <w:adjustRightInd w:val="0"/>
              <w:spacing w:line="360" w:lineRule="auto"/>
              <w:ind w:firstLine="496" w:firstLineChars="200"/>
              <w:rPr>
                <w:sz w:val="24"/>
              </w:rPr>
            </w:pPr>
            <w:r>
              <w:rPr>
                <w:bCs/>
                <w:spacing w:val="4"/>
                <w:sz w:val="24"/>
              </w:rPr>
              <w:t>本项目所在区域属于重点开发区，</w:t>
            </w:r>
            <w:r>
              <w:rPr>
                <w:sz w:val="24"/>
              </w:rPr>
              <w:t>项目位于留晖工业聚集区，且项目建设属于区域鼓励发展方向，建设后使用清洁能源天热气，符合区域生态环境保护要求，故符合定襄县生态经济区划。</w:t>
            </w:r>
          </w:p>
          <w:p>
            <w:pPr>
              <w:adjustRightInd w:val="0"/>
              <w:spacing w:line="360" w:lineRule="auto"/>
              <w:ind w:firstLine="480" w:firstLineChars="200"/>
              <w:rPr>
                <w:sz w:val="24"/>
              </w:rPr>
            </w:pPr>
            <w:r>
              <w:rPr>
                <w:sz w:val="24"/>
              </w:rPr>
              <w:t>（4）与定襄县城市发展规划</w:t>
            </w:r>
          </w:p>
          <w:p>
            <w:pPr>
              <w:adjustRightInd w:val="0"/>
              <w:spacing w:line="360" w:lineRule="auto"/>
              <w:ind w:firstLine="480" w:firstLineChars="200"/>
              <w:rPr>
                <w:sz w:val="24"/>
              </w:rPr>
            </w:pPr>
            <w:r>
              <w:rPr>
                <w:sz w:val="24"/>
              </w:rPr>
              <w:t>定襄县城是全县的政治、经济、文化中心，以轻型工业和商贸、旅游等综合服务为主的园林城市。</w:t>
            </w:r>
          </w:p>
          <w:p>
            <w:pPr>
              <w:adjustRightInd w:val="0"/>
              <w:spacing w:line="360" w:lineRule="auto"/>
              <w:ind w:firstLine="480" w:firstLineChars="200"/>
              <w:rPr>
                <w:sz w:val="24"/>
              </w:rPr>
            </w:pPr>
            <w:r>
              <w:rPr>
                <w:sz w:val="24"/>
              </w:rPr>
              <w:t>根据县城城镇体系规划对县城人口规模的预测，确定城市近期（2015年）人口规模为8万人，远期（2030年）人口规模为14万人。</w:t>
            </w:r>
          </w:p>
          <w:p>
            <w:pPr>
              <w:adjustRightInd w:val="0"/>
              <w:spacing w:line="360" w:lineRule="auto"/>
              <w:ind w:firstLine="480" w:firstLineChars="200"/>
              <w:rPr>
                <w:sz w:val="24"/>
              </w:rPr>
            </w:pPr>
            <w:r>
              <w:rPr>
                <w:sz w:val="24"/>
              </w:rPr>
              <w:t>规划范围：定襄晋昌镇镇域和杨芳乡乡域的部分行政区范围，总面积为23.1km</w:t>
            </w:r>
            <w:r>
              <w:rPr>
                <w:sz w:val="24"/>
                <w:vertAlign w:val="superscript"/>
              </w:rPr>
              <w:t>2</w:t>
            </w:r>
            <w:r>
              <w:rPr>
                <w:sz w:val="24"/>
              </w:rPr>
              <w:t>。具体范围为：北以忻阜高速公路为界，南到牧马河南岸，东西到城市外环路外100m。</w:t>
            </w:r>
          </w:p>
          <w:p>
            <w:pPr>
              <w:adjustRightInd w:val="0"/>
              <w:spacing w:line="360" w:lineRule="auto"/>
              <w:ind w:firstLine="480" w:firstLineChars="200"/>
              <w:rPr>
                <w:sz w:val="24"/>
              </w:rPr>
            </w:pPr>
            <w:r>
              <w:rPr>
                <w:sz w:val="24"/>
              </w:rPr>
              <w:t>城市职能：规划县城为“一城两心四片”的空间结构。由一个商贸中心、一个行政中心和东北部的商贸物流片区、西北部的教育文化片区、西南部的科技产业片区和东南部的休闲旅游片区构成。</w:t>
            </w:r>
          </w:p>
          <w:p>
            <w:pPr>
              <w:adjustRightInd w:val="0"/>
              <w:spacing w:line="360" w:lineRule="auto"/>
              <w:ind w:firstLine="480" w:firstLineChars="200"/>
              <w:rPr>
                <w:sz w:val="24"/>
              </w:rPr>
            </w:pPr>
            <w:r>
              <w:rPr>
                <w:sz w:val="24"/>
              </w:rPr>
              <w:t>本项目建设地点位于忻州市定襄县南王乡留晖工业聚集区内，距离定襄县城规划约3.1km，不违背定襄县县城总体规划的要求。</w:t>
            </w:r>
          </w:p>
          <w:p>
            <w:pPr>
              <w:adjustRightInd w:val="0"/>
              <w:spacing w:line="360" w:lineRule="auto"/>
              <w:ind w:firstLine="480" w:firstLineChars="200"/>
            </w:pPr>
            <w:r>
              <w:rPr>
                <w:sz w:val="24"/>
              </w:rPr>
              <w:t>3、“三线一单”符合性</w:t>
            </w:r>
          </w:p>
          <w:p>
            <w:pPr>
              <w:adjustRightInd w:val="0"/>
              <w:spacing w:line="360" w:lineRule="auto"/>
              <w:ind w:firstLine="480" w:firstLineChars="200"/>
            </w:pPr>
            <w:r>
              <w:rPr>
                <w:sz w:val="24"/>
              </w:rPr>
              <w:t>（1）生态保护红线</w:t>
            </w:r>
          </w:p>
          <w:p>
            <w:pPr>
              <w:adjustRightInd w:val="0"/>
              <w:spacing w:line="360" w:lineRule="auto"/>
              <w:ind w:firstLine="480" w:firstLineChars="200"/>
            </w:pPr>
            <w:r>
              <w:rPr>
                <w:sz w:val="24"/>
              </w:rPr>
              <w:t>项目选址不在自然保护区、风景旅游区、文物保护区、饮用水水源保护区、森林公园、地质公园等重要生态功能区、生态敏感区和脆弱区以及其他要求禁止建设的环境敏感区内，符合生态保护红线要求。</w:t>
            </w:r>
          </w:p>
          <w:p>
            <w:pPr>
              <w:adjustRightInd w:val="0"/>
              <w:spacing w:line="360" w:lineRule="auto"/>
              <w:ind w:firstLine="480" w:firstLineChars="200"/>
            </w:pPr>
            <w:r>
              <w:rPr>
                <w:sz w:val="24"/>
              </w:rPr>
              <w:t>（2）环境质量底线</w:t>
            </w:r>
          </w:p>
          <w:p>
            <w:pPr>
              <w:pStyle w:val="24"/>
              <w:snapToGrid/>
              <w:spacing w:before="0" w:after="0" w:line="360" w:lineRule="auto"/>
              <w:ind w:firstLine="480"/>
              <w:rPr>
                <w:rFonts w:ascii="Times New Roman" w:hAnsi="Times New Roman"/>
                <w:szCs w:val="28"/>
              </w:rPr>
            </w:pPr>
            <w:r>
              <w:rPr>
                <w:rFonts w:ascii="Times New Roman" w:hAnsi="Times New Roman"/>
                <w:szCs w:val="28"/>
              </w:rPr>
              <w:t>由定襄县2020年例行监测数据可知，定襄县SO</w:t>
            </w:r>
            <w:r>
              <w:rPr>
                <w:rFonts w:ascii="Times New Roman" w:hAnsi="Times New Roman"/>
                <w:szCs w:val="28"/>
                <w:vertAlign w:val="subscript"/>
              </w:rPr>
              <w:t>2</w:t>
            </w:r>
            <w:r>
              <w:rPr>
                <w:rFonts w:ascii="Times New Roman" w:hAnsi="Times New Roman"/>
                <w:szCs w:val="28"/>
              </w:rPr>
              <w:t>年均值、NO</w:t>
            </w:r>
            <w:r>
              <w:rPr>
                <w:rFonts w:ascii="Times New Roman" w:hAnsi="Times New Roman"/>
                <w:szCs w:val="28"/>
                <w:vertAlign w:val="subscript"/>
              </w:rPr>
              <w:t>2</w:t>
            </w:r>
            <w:r>
              <w:rPr>
                <w:rFonts w:ascii="Times New Roman" w:hAnsi="Times New Roman"/>
                <w:szCs w:val="28"/>
              </w:rPr>
              <w:t>年均值、CO日均值第95百分位浓度均满足环境空气质量二级标准，PM</w:t>
            </w:r>
            <w:r>
              <w:rPr>
                <w:rFonts w:ascii="Times New Roman" w:hAnsi="Times New Roman"/>
                <w:szCs w:val="28"/>
                <w:vertAlign w:val="subscript"/>
              </w:rPr>
              <w:t>10</w:t>
            </w:r>
            <w:r>
              <w:rPr>
                <w:rFonts w:ascii="Times New Roman" w:hAnsi="Times New Roman"/>
                <w:szCs w:val="28"/>
              </w:rPr>
              <w:t>年均值、PM</w:t>
            </w:r>
            <w:r>
              <w:rPr>
                <w:rFonts w:ascii="Times New Roman" w:hAnsi="Times New Roman"/>
                <w:szCs w:val="28"/>
                <w:vertAlign w:val="subscript"/>
              </w:rPr>
              <w:t>2.5</w:t>
            </w:r>
            <w:r>
              <w:rPr>
                <w:rFonts w:ascii="Times New Roman" w:hAnsi="Times New Roman"/>
                <w:szCs w:val="28"/>
              </w:rPr>
              <w:t>年均值、O</w:t>
            </w:r>
            <w:r>
              <w:rPr>
                <w:rFonts w:ascii="Times New Roman" w:hAnsi="Times New Roman"/>
                <w:szCs w:val="28"/>
                <w:vertAlign w:val="subscript"/>
              </w:rPr>
              <w:t>3</w:t>
            </w:r>
            <w:r>
              <w:rPr>
                <w:rFonts w:ascii="Times New Roman" w:hAnsi="Times New Roman"/>
                <w:szCs w:val="28"/>
              </w:rPr>
              <w:t>最大8小时平均值第90百分位值均超过</w:t>
            </w:r>
            <w:r>
              <w:rPr>
                <w:rFonts w:ascii="Times New Roman" w:hAnsi="Times New Roman"/>
                <w:bCs/>
              </w:rPr>
              <w:t>《环境空气质量标准》（GB3095-2012）</w:t>
            </w:r>
            <w:r>
              <w:rPr>
                <w:rFonts w:ascii="Times New Roman" w:hAnsi="Times New Roman"/>
                <w:szCs w:val="28"/>
              </w:rPr>
              <w:t>二级标准。由此判定，评价区为不达标区</w:t>
            </w:r>
            <w:r>
              <w:rPr>
                <w:rFonts w:hint="eastAsia" w:ascii="Times New Roman" w:hAnsi="Times New Roman"/>
                <w:szCs w:val="28"/>
              </w:rPr>
              <w:t>。</w:t>
            </w:r>
          </w:p>
          <w:p>
            <w:pPr>
              <w:pStyle w:val="24"/>
              <w:snapToGrid/>
              <w:spacing w:before="0" w:after="0" w:line="360" w:lineRule="auto"/>
              <w:ind w:firstLine="480"/>
              <w:rPr>
                <w:rFonts w:ascii="Times New Roman" w:hAnsi="Times New Roman"/>
                <w:szCs w:val="28"/>
              </w:rPr>
            </w:pPr>
            <w:r>
              <w:rPr>
                <w:rFonts w:hint="eastAsia" w:ascii="Times New Roman" w:hAnsi="Times New Roman"/>
                <w:szCs w:val="28"/>
              </w:rPr>
              <w:t>本次改扩建项目拆除现有燃煤加热炉改为燃气加热炉，并采取SCR脱硝设施处理烟气后，改扩建前后污染物明显减少，NO</w:t>
            </w:r>
            <w:r>
              <w:rPr>
                <w:rFonts w:hint="eastAsia" w:ascii="Times New Roman" w:hAnsi="Times New Roman"/>
                <w:szCs w:val="28"/>
                <w:vertAlign w:val="subscript"/>
              </w:rPr>
              <w:t>X</w:t>
            </w:r>
            <w:r>
              <w:rPr>
                <w:rFonts w:hint="eastAsia" w:ascii="Times New Roman" w:hAnsi="Times New Roman"/>
                <w:szCs w:val="28"/>
              </w:rPr>
              <w:t>减排1.728t/a，烟尘减排1.147t/a，SO</w:t>
            </w:r>
            <w:r>
              <w:rPr>
                <w:rFonts w:hint="eastAsia" w:ascii="Times New Roman" w:hAnsi="Times New Roman"/>
                <w:szCs w:val="28"/>
                <w:vertAlign w:val="subscript"/>
              </w:rPr>
              <w:t>2</w:t>
            </w:r>
            <w:r>
              <w:rPr>
                <w:rFonts w:hint="eastAsia" w:ascii="Times New Roman" w:hAnsi="Times New Roman"/>
                <w:szCs w:val="28"/>
              </w:rPr>
              <w:t>减排4.988t/a，满足倍量削减要求，能够起到改善环境空气质量要求；且生产过程中不产生废水，不会对水环境产生影响，能够达到环境质量底线。</w:t>
            </w:r>
          </w:p>
          <w:p>
            <w:pPr>
              <w:adjustRightInd w:val="0"/>
              <w:snapToGrid w:val="0"/>
              <w:spacing w:line="360" w:lineRule="auto"/>
              <w:ind w:firstLine="480" w:firstLineChars="200"/>
            </w:pPr>
            <w:r>
              <w:rPr>
                <w:sz w:val="24"/>
              </w:rPr>
              <w:t>（3）资源利用上线</w:t>
            </w:r>
          </w:p>
          <w:p>
            <w:pPr>
              <w:adjustRightInd w:val="0"/>
              <w:snapToGrid w:val="0"/>
              <w:spacing w:line="360" w:lineRule="auto"/>
              <w:ind w:firstLine="480" w:firstLineChars="200"/>
            </w:pPr>
            <w:r>
              <w:rPr>
                <w:sz w:val="24"/>
                <w:szCs w:val="22"/>
              </w:rPr>
              <w:t>项目原辅料、动力供应充足，本项目天然气由山西国</w:t>
            </w:r>
            <w:r>
              <w:rPr>
                <w:rFonts w:hint="eastAsia"/>
                <w:sz w:val="24"/>
                <w:szCs w:val="22"/>
              </w:rPr>
              <w:t>新</w:t>
            </w:r>
            <w:r>
              <w:rPr>
                <w:sz w:val="24"/>
                <w:szCs w:val="22"/>
              </w:rPr>
              <w:t>定襄燃气有限公司提供，随着国家“西气东输、陕京二线、陕京三线”的建成与实施，天然气管网也由西气东输工程干线的陕京二线由盂县引至定襄，并在定襄建站，定襄天然气输送管道专供锻造企业的支线管网由山西国</w:t>
            </w:r>
            <w:r>
              <w:rPr>
                <w:rFonts w:hint="eastAsia"/>
                <w:sz w:val="24"/>
                <w:szCs w:val="22"/>
              </w:rPr>
              <w:t>新</w:t>
            </w:r>
            <w:r>
              <w:rPr>
                <w:sz w:val="24"/>
                <w:szCs w:val="22"/>
              </w:rPr>
              <w:t>定襄燃气有限公司建成。目前，该公司完全具备为本项目供应天然气的能力和条件。满足资源利用上线的要求。</w:t>
            </w:r>
          </w:p>
          <w:p>
            <w:pPr>
              <w:adjustRightInd w:val="0"/>
              <w:spacing w:line="360" w:lineRule="auto"/>
              <w:ind w:firstLine="480" w:firstLineChars="200"/>
            </w:pPr>
            <w:r>
              <w:rPr>
                <w:sz w:val="24"/>
              </w:rPr>
              <w:t>（4）环境准入负面清单</w:t>
            </w:r>
          </w:p>
          <w:p>
            <w:pPr>
              <w:spacing w:line="360" w:lineRule="auto"/>
              <w:ind w:firstLine="480" w:firstLineChars="200"/>
              <w:rPr>
                <w:bCs/>
                <w:sz w:val="24"/>
                <w:szCs w:val="32"/>
              </w:rPr>
            </w:pPr>
            <w:r>
              <w:rPr>
                <w:bCs/>
                <w:sz w:val="24"/>
                <w:szCs w:val="32"/>
              </w:rPr>
              <w:t>根据《关于印发忻州市“三线一单”生态环境分区管控实施方案的通知》（忻政发〔2021〕12号）中附件3</w:t>
            </w:r>
            <w:r>
              <w:rPr>
                <w:rFonts w:hint="eastAsia"/>
                <w:bCs/>
                <w:sz w:val="24"/>
                <w:szCs w:val="32"/>
              </w:rPr>
              <w:t>‘</w:t>
            </w:r>
            <w:r>
              <w:rPr>
                <w:bCs/>
                <w:sz w:val="24"/>
                <w:szCs w:val="32"/>
              </w:rPr>
              <w:t>忻州市工业园区普适性生态环境准入清单</w:t>
            </w:r>
            <w:r>
              <w:rPr>
                <w:rFonts w:hint="eastAsia"/>
                <w:bCs/>
                <w:sz w:val="24"/>
                <w:szCs w:val="32"/>
              </w:rPr>
              <w:t>’</w:t>
            </w:r>
            <w:r>
              <w:rPr>
                <w:bCs/>
                <w:sz w:val="24"/>
                <w:szCs w:val="32"/>
              </w:rPr>
              <w:t>分析，详见表2，项目建设满足条件。</w:t>
            </w:r>
          </w:p>
          <w:p>
            <w:pPr>
              <w:autoSpaceDE w:val="0"/>
              <w:autoSpaceDN w:val="0"/>
              <w:adjustRightInd w:val="0"/>
              <w:snapToGrid w:val="0"/>
              <w:spacing w:line="360" w:lineRule="auto"/>
              <w:ind w:firstLine="480" w:firstLineChars="200"/>
              <w:rPr>
                <w:bCs/>
                <w:kern w:val="0"/>
                <w:sz w:val="24"/>
              </w:rPr>
            </w:pPr>
            <w:r>
              <w:rPr>
                <w:bCs/>
                <w:kern w:val="0"/>
                <w:sz w:val="24"/>
              </w:rPr>
              <w:t>（5）根据《山西省人民政府关于实施“三线一单”生态环境分区管控的意见》（晋政发〔2020〕26号），实施生态保护红线、环境质量底线、资源利用上线和生态环境准入清单（以下简称“三线一单”）生态环境分区管控，本项目所在区域属于重点管控单元，项目建设符合其管控要求。</w:t>
            </w:r>
          </w:p>
          <w:p>
            <w:pPr>
              <w:autoSpaceDE w:val="0"/>
              <w:autoSpaceDN w:val="0"/>
              <w:adjustRightInd w:val="0"/>
              <w:snapToGrid w:val="0"/>
              <w:spacing w:line="360" w:lineRule="auto"/>
              <w:ind w:firstLine="480" w:firstLineChars="200"/>
              <w:rPr>
                <w:bCs/>
                <w:kern w:val="0"/>
                <w:sz w:val="24"/>
              </w:rPr>
            </w:pPr>
            <w:r>
              <w:rPr>
                <w:bCs/>
                <w:kern w:val="0"/>
                <w:sz w:val="24"/>
              </w:rPr>
              <w:t>（6）根据《关于印发忻州市“三线一单”生态环境分区管控实施方案的通知》（忻政发〔2021〕12号），实施生态保护红线、环境质量底线、资源利用上线和生态环境准入清单生态环境分区管控，本项目区域属于重点管控单元，项目建设符合其管控要求。</w:t>
            </w:r>
          </w:p>
          <w:p>
            <w:pPr>
              <w:spacing w:line="360" w:lineRule="auto"/>
              <w:jc w:val="center"/>
              <w:rPr>
                <w:b/>
                <w:bCs/>
                <w:kern w:val="21"/>
                <w:szCs w:val="21"/>
              </w:rPr>
            </w:pPr>
            <w:r>
              <w:rPr>
                <w:b/>
                <w:bCs/>
                <w:kern w:val="21"/>
                <w:szCs w:val="21"/>
              </w:rPr>
              <w:t>表</w:t>
            </w:r>
            <w:r>
              <w:rPr>
                <w:rFonts w:hint="eastAsia"/>
                <w:b/>
                <w:bCs/>
                <w:kern w:val="21"/>
                <w:szCs w:val="21"/>
              </w:rPr>
              <w:t>1</w:t>
            </w:r>
            <w:r>
              <w:rPr>
                <w:b/>
                <w:bCs/>
                <w:kern w:val="21"/>
                <w:szCs w:val="21"/>
              </w:rPr>
              <w:t xml:space="preserve">  项目与《忻州市人民政府关于印发“三线一单”生态环境分区管控实施方案的通知》相符性</w:t>
            </w:r>
          </w:p>
          <w:tbl>
            <w:tblPr>
              <w:tblStyle w:val="13"/>
              <w:tblW w:w="625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79"/>
              <w:gridCol w:w="3250"/>
              <w:gridCol w:w="1559"/>
              <w:gridCol w:w="6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77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管控领域</w:t>
                  </w:r>
                </w:p>
              </w:tc>
              <w:tc>
                <w:tcPr>
                  <w:tcW w:w="3250"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普适性管控要求</w:t>
                  </w:r>
                </w:p>
              </w:tc>
              <w:tc>
                <w:tcPr>
                  <w:tcW w:w="155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本项目情况</w:t>
                  </w:r>
                </w:p>
              </w:tc>
              <w:tc>
                <w:tcPr>
                  <w:tcW w:w="66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符合情况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77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空间布局约束</w:t>
                  </w:r>
                </w:p>
              </w:tc>
              <w:tc>
                <w:tcPr>
                  <w:tcW w:w="3250" w:type="dxa"/>
                  <w:vAlign w:val="center"/>
                </w:tcPr>
                <w:p>
                  <w:pPr>
                    <w:jc w:val="left"/>
                    <w:rPr>
                      <w:bCs/>
                      <w:kern w:val="0"/>
                      <w:szCs w:val="21"/>
                    </w:rPr>
                  </w:pPr>
                  <w:r>
                    <w:rPr>
                      <w:rFonts w:hint="eastAsia"/>
                      <w:bCs/>
                      <w:kern w:val="0"/>
                      <w:szCs w:val="21"/>
                    </w:rPr>
                    <w:t>1</w:t>
                  </w:r>
                  <w:r>
                    <w:rPr>
                      <w:bCs/>
                      <w:kern w:val="0"/>
                      <w:szCs w:val="21"/>
                    </w:rPr>
                    <w:t>、禁止在居民区和学校、医院、疗养院、养老院、幼儿园等单位周边新建、改建、扩建可能造成土壤污染的建设项目。</w:t>
                  </w:r>
                </w:p>
                <w:p>
                  <w:pPr>
                    <w:jc w:val="left"/>
                    <w:rPr>
                      <w:bCs/>
                      <w:kern w:val="0"/>
                      <w:szCs w:val="21"/>
                    </w:rPr>
                  </w:pPr>
                  <w:r>
                    <w:rPr>
                      <w:rFonts w:hint="eastAsia"/>
                      <w:bCs/>
                      <w:kern w:val="0"/>
                      <w:szCs w:val="21"/>
                    </w:rPr>
                    <w:t>2</w:t>
                  </w:r>
                  <w:r>
                    <w:rPr>
                      <w:bCs/>
                      <w:kern w:val="0"/>
                      <w:szCs w:val="21"/>
                    </w:rPr>
                    <w:t>、加快城市建成区及周边重污染企业搬迁改造或关闭退出。对不符合产业政策或规划布局要求，无污染防治设施或污染防治设施简陋，且在原址不具备改造升级、继续生产条件的企业，列入关停取缔类，基本做到“两断三清”（切断工业用水、用电，清除原料、产品、生产设备）。</w:t>
                  </w:r>
                </w:p>
                <w:p>
                  <w:pPr>
                    <w:jc w:val="left"/>
                    <w:rPr>
                      <w:bCs/>
                      <w:kern w:val="0"/>
                      <w:szCs w:val="21"/>
                    </w:rPr>
                  </w:pPr>
                  <w:r>
                    <w:rPr>
                      <w:rFonts w:hint="eastAsia"/>
                      <w:bCs/>
                      <w:kern w:val="0"/>
                      <w:szCs w:val="21"/>
                    </w:rPr>
                    <w:t>3</w:t>
                  </w:r>
                  <w:r>
                    <w:rPr>
                      <w:bCs/>
                      <w:kern w:val="0"/>
                      <w:szCs w:val="21"/>
                    </w:rPr>
                    <w:t>、严格建设项目环境准入并落实园区规划环评。新建涉工业炉窑的建设项目，原则上要入园区，配套建设高效环保治理设施。</w:t>
                  </w:r>
                </w:p>
                <w:p>
                  <w:pPr>
                    <w:jc w:val="left"/>
                    <w:rPr>
                      <w:color w:val="000000"/>
                      <w:szCs w:val="21"/>
                    </w:rPr>
                  </w:pPr>
                  <w:r>
                    <w:rPr>
                      <w:rFonts w:hint="eastAsia"/>
                      <w:bCs/>
                      <w:kern w:val="0"/>
                      <w:szCs w:val="21"/>
                    </w:rPr>
                    <w:t>4</w:t>
                  </w:r>
                  <w:r>
                    <w:rPr>
                      <w:bCs/>
                      <w:kern w:val="0"/>
                      <w:szCs w:val="21"/>
                    </w:rPr>
                    <w:t>、铸造企业的布局及厂址的确定应符合国家相关法律法规、产业政策以及各地方政府装备制造业和铸造行业的总体规划要求。</w:t>
                  </w:r>
                </w:p>
              </w:tc>
              <w:tc>
                <w:tcPr>
                  <w:tcW w:w="1559" w:type="dxa"/>
                  <w:vAlign w:val="center"/>
                </w:tcPr>
                <w:p>
                  <w:pPr>
                    <w:pStyle w:val="33"/>
                    <w:snapToGrid/>
                    <w:spacing w:before="0" w:after="0" w:line="240" w:lineRule="auto"/>
                    <w:ind w:right="0" w:firstLine="0" w:firstLineChars="0"/>
                    <w:rPr>
                      <w:rFonts w:ascii="Times New Roman" w:hAnsi="Times New Roman" w:cs="Times New Roman"/>
                      <w:kern w:val="21"/>
                      <w:sz w:val="21"/>
                      <w:szCs w:val="21"/>
                    </w:rPr>
                  </w:pPr>
                  <w:r>
                    <w:rPr>
                      <w:rFonts w:hint="eastAsia"/>
                      <w:kern w:val="21"/>
                      <w:sz w:val="21"/>
                      <w:szCs w:val="21"/>
                    </w:rPr>
                    <w:t>①</w:t>
                  </w:r>
                  <w:r>
                    <w:rPr>
                      <w:rFonts w:ascii="Times New Roman" w:hAnsi="Times New Roman" w:cs="Times New Roman"/>
                      <w:kern w:val="21"/>
                      <w:sz w:val="21"/>
                      <w:szCs w:val="21"/>
                    </w:rPr>
                    <w:t>项目周边无居民区、医院、疗养院、养老院、幼儿园等单位。</w:t>
                  </w:r>
                </w:p>
                <w:p>
                  <w:pPr>
                    <w:pStyle w:val="33"/>
                    <w:snapToGrid/>
                    <w:spacing w:before="0" w:after="0" w:line="240" w:lineRule="auto"/>
                    <w:ind w:right="0" w:firstLine="0" w:firstLineChars="0"/>
                    <w:rPr>
                      <w:rFonts w:ascii="Times New Roman" w:hAnsi="Times New Roman" w:cs="Times New Roman"/>
                      <w:kern w:val="21"/>
                      <w:sz w:val="21"/>
                      <w:szCs w:val="21"/>
                    </w:rPr>
                  </w:pPr>
                  <w:r>
                    <w:rPr>
                      <w:rFonts w:hint="eastAsia"/>
                      <w:kern w:val="21"/>
                      <w:sz w:val="21"/>
                      <w:szCs w:val="21"/>
                    </w:rPr>
                    <w:t>②</w:t>
                  </w:r>
                  <w:r>
                    <w:rPr>
                      <w:rFonts w:ascii="Times New Roman" w:hAnsi="Times New Roman" w:cs="Times New Roman"/>
                      <w:kern w:val="21"/>
                      <w:sz w:val="21"/>
                      <w:szCs w:val="21"/>
                    </w:rPr>
                    <w:t>本项目建设位于留晖工业聚集区内，不在城市、城镇建成区。</w:t>
                  </w:r>
                </w:p>
                <w:p>
                  <w:pPr>
                    <w:pStyle w:val="33"/>
                    <w:snapToGrid/>
                    <w:spacing w:before="0" w:after="0" w:line="240" w:lineRule="auto"/>
                    <w:ind w:right="0" w:firstLine="0" w:firstLineChars="0"/>
                    <w:rPr>
                      <w:rFonts w:ascii="Times New Roman" w:hAnsi="Times New Roman" w:cs="Times New Roman"/>
                      <w:kern w:val="21"/>
                      <w:sz w:val="21"/>
                      <w:szCs w:val="21"/>
                    </w:rPr>
                  </w:pPr>
                  <w:r>
                    <w:rPr>
                      <w:rFonts w:hint="eastAsia"/>
                      <w:kern w:val="21"/>
                      <w:sz w:val="21"/>
                      <w:szCs w:val="21"/>
                    </w:rPr>
                    <w:t>③</w:t>
                  </w:r>
                  <w:r>
                    <w:rPr>
                      <w:rFonts w:ascii="Times New Roman" w:hAnsi="Times New Roman" w:cs="Times New Roman"/>
                      <w:kern w:val="21"/>
                      <w:sz w:val="21"/>
                      <w:szCs w:val="21"/>
                    </w:rPr>
                    <w:t>项目位于留晖工业聚集区内，新增天然气加热炉配套建设脱硝装置。</w:t>
                  </w:r>
                </w:p>
                <w:p>
                  <w:pPr>
                    <w:pStyle w:val="33"/>
                    <w:snapToGrid/>
                    <w:spacing w:before="0" w:after="0" w:line="240" w:lineRule="auto"/>
                    <w:ind w:right="0" w:firstLine="0" w:firstLineChars="0"/>
                    <w:rPr>
                      <w:rFonts w:ascii="Times New Roman" w:hAnsi="Times New Roman" w:cs="Times New Roman"/>
                      <w:kern w:val="21"/>
                      <w:sz w:val="21"/>
                      <w:szCs w:val="21"/>
                    </w:rPr>
                  </w:pPr>
                  <w:r>
                    <w:rPr>
                      <w:rFonts w:hint="eastAsia"/>
                      <w:kern w:val="21"/>
                      <w:sz w:val="21"/>
                      <w:szCs w:val="21"/>
                    </w:rPr>
                    <w:t>④</w:t>
                  </w:r>
                  <w:r>
                    <w:rPr>
                      <w:rFonts w:ascii="Times New Roman" w:hAnsi="Times New Roman" w:cs="Times New Roman"/>
                      <w:kern w:val="21"/>
                      <w:sz w:val="21"/>
                      <w:szCs w:val="21"/>
                    </w:rPr>
                    <w:t>项目建设符合《定襄县法兰锻造行业整改规范三十条》相关要求。</w:t>
                  </w:r>
                </w:p>
              </w:tc>
              <w:tc>
                <w:tcPr>
                  <w:tcW w:w="66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77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污染物排放管控</w:t>
                  </w:r>
                </w:p>
              </w:tc>
              <w:tc>
                <w:tcPr>
                  <w:tcW w:w="3250" w:type="dxa"/>
                  <w:vAlign w:val="center"/>
                </w:tcPr>
                <w:p>
                  <w:pPr>
                    <w:jc w:val="left"/>
                    <w:rPr>
                      <w:bCs/>
                      <w:kern w:val="0"/>
                      <w:szCs w:val="21"/>
                    </w:rPr>
                  </w:pPr>
                  <w:r>
                    <w:rPr>
                      <w:bCs/>
                      <w:kern w:val="0"/>
                      <w:szCs w:val="21"/>
                    </w:rPr>
                    <w:t>1、强化工业集聚区污水集中治理。</w:t>
                  </w:r>
                </w:p>
                <w:p>
                  <w:pPr>
                    <w:jc w:val="left"/>
                    <w:rPr>
                      <w:bCs/>
                      <w:kern w:val="0"/>
                      <w:szCs w:val="21"/>
                    </w:rPr>
                  </w:pPr>
                  <w:r>
                    <w:rPr>
                      <w:bCs/>
                      <w:kern w:val="0"/>
                      <w:szCs w:val="21"/>
                    </w:rPr>
                    <w:t>2、禁止将重金属或者其他有毒有害物质含量超标的工业固体废物、生活垃圾或者污染土壤等用于土地复垦和生态修复。</w:t>
                  </w:r>
                </w:p>
                <w:p>
                  <w:pPr>
                    <w:jc w:val="left"/>
                    <w:rPr>
                      <w:bCs/>
                      <w:kern w:val="0"/>
                      <w:szCs w:val="21"/>
                    </w:rPr>
                  </w:pPr>
                  <w:r>
                    <w:rPr>
                      <w:bCs/>
                      <w:kern w:val="0"/>
                      <w:szCs w:val="21"/>
                    </w:rPr>
                    <w:t>3、对钢铁、建材、焦化、有色、化工、矿山等涉及大宗物料运输的重点用车企业，实施重污染天气应急响应。在重污染天气预警期间停止柴油货车进出厂区；重点用车企业要安装管控运输车辆的门禁和视频监控系统，监控数据至少保存一年以上。</w:t>
                  </w:r>
                </w:p>
                <w:p>
                  <w:pPr>
                    <w:jc w:val="left"/>
                    <w:rPr>
                      <w:bCs/>
                      <w:kern w:val="0"/>
                      <w:szCs w:val="21"/>
                    </w:rPr>
                  </w:pPr>
                  <w:r>
                    <w:rPr>
                      <w:bCs/>
                      <w:kern w:val="0"/>
                      <w:szCs w:val="21"/>
                    </w:rPr>
                    <w:t>4、尚未完成有组织和无组织排放治理任务实施停产治理的砖瓦窑、锻造等行业工业企业和未完成炉膛直径3米以下燃料类煤气发生炉、一段式煤气发生炉淘汰任务的工业企业要加快改造和淘汰，严格落实物料转运、物料堆场、生产工艺、厂区环境等环节的无组织排放精准管控要求，完成治理，备案销号。</w:t>
                  </w:r>
                </w:p>
                <w:p>
                  <w:pPr>
                    <w:jc w:val="left"/>
                    <w:rPr>
                      <w:bCs/>
                      <w:kern w:val="0"/>
                      <w:szCs w:val="21"/>
                    </w:rPr>
                  </w:pPr>
                  <w:r>
                    <w:rPr>
                      <w:rFonts w:hint="eastAsia"/>
                      <w:bCs/>
                      <w:kern w:val="0"/>
                      <w:szCs w:val="21"/>
                    </w:rPr>
                    <w:t>5</w:t>
                  </w:r>
                  <w:r>
                    <w:rPr>
                      <w:bCs/>
                      <w:kern w:val="0"/>
                      <w:szCs w:val="21"/>
                    </w:rPr>
                    <w:t>、强化工业园区的土壤环境管理，严控工业企业重金属排放量。</w:t>
                  </w:r>
                </w:p>
              </w:tc>
              <w:tc>
                <w:tcPr>
                  <w:tcW w:w="1559" w:type="dxa"/>
                  <w:vAlign w:val="center"/>
                </w:tcPr>
                <w:p>
                  <w:pPr>
                    <w:pStyle w:val="33"/>
                    <w:snapToGrid/>
                    <w:spacing w:before="0" w:after="0" w:line="240" w:lineRule="auto"/>
                    <w:ind w:right="0" w:firstLine="0" w:firstLineChars="0"/>
                    <w:rPr>
                      <w:rFonts w:ascii="Times New Roman" w:hAnsi="Times New Roman" w:cs="Times New Roman"/>
                      <w:kern w:val="21"/>
                      <w:sz w:val="21"/>
                      <w:szCs w:val="21"/>
                    </w:rPr>
                  </w:pPr>
                  <w:r>
                    <w:rPr>
                      <w:rFonts w:hint="eastAsia"/>
                      <w:kern w:val="21"/>
                      <w:sz w:val="21"/>
                      <w:szCs w:val="21"/>
                    </w:rPr>
                    <w:t>①</w:t>
                  </w:r>
                  <w:r>
                    <w:rPr>
                      <w:rFonts w:ascii="Times New Roman" w:hAnsi="Times New Roman" w:cs="Times New Roman"/>
                      <w:kern w:val="21"/>
                      <w:sz w:val="21"/>
                      <w:szCs w:val="21"/>
                    </w:rPr>
                    <w:t>本项目产生废水仅为少量生活污水，不外排。</w:t>
                  </w:r>
                </w:p>
                <w:p>
                  <w:pPr>
                    <w:pStyle w:val="33"/>
                    <w:snapToGrid/>
                    <w:spacing w:before="0" w:after="0" w:line="240" w:lineRule="auto"/>
                    <w:ind w:right="0" w:firstLine="0" w:firstLineChars="0"/>
                    <w:rPr>
                      <w:rFonts w:ascii="Times New Roman" w:hAnsi="Times New Roman" w:cs="Times New Roman"/>
                      <w:kern w:val="21"/>
                      <w:sz w:val="21"/>
                      <w:szCs w:val="21"/>
                    </w:rPr>
                  </w:pPr>
                  <w:r>
                    <w:rPr>
                      <w:rFonts w:hint="eastAsia"/>
                      <w:kern w:val="21"/>
                      <w:sz w:val="21"/>
                      <w:szCs w:val="21"/>
                    </w:rPr>
                    <w:t>②</w:t>
                  </w:r>
                  <w:r>
                    <w:rPr>
                      <w:rFonts w:ascii="Times New Roman" w:hAnsi="Times New Roman" w:cs="Times New Roman"/>
                      <w:kern w:val="21"/>
                      <w:sz w:val="21"/>
                      <w:szCs w:val="21"/>
                    </w:rPr>
                    <w:t>本项目固体废物均合理处置。</w:t>
                  </w:r>
                </w:p>
                <w:p>
                  <w:pPr>
                    <w:pStyle w:val="33"/>
                    <w:snapToGrid/>
                    <w:spacing w:before="0" w:after="0" w:line="240" w:lineRule="auto"/>
                    <w:ind w:right="0" w:firstLine="0" w:firstLineChars="0"/>
                    <w:rPr>
                      <w:rFonts w:ascii="Times New Roman" w:hAnsi="Times New Roman" w:cs="Times New Roman"/>
                      <w:kern w:val="21"/>
                      <w:sz w:val="21"/>
                      <w:szCs w:val="21"/>
                    </w:rPr>
                  </w:pPr>
                  <w:r>
                    <w:rPr>
                      <w:rFonts w:hint="eastAsia"/>
                      <w:kern w:val="21"/>
                      <w:sz w:val="21"/>
                      <w:szCs w:val="21"/>
                    </w:rPr>
                    <w:t>③</w:t>
                  </w:r>
                  <w:r>
                    <w:rPr>
                      <w:rFonts w:ascii="Times New Roman" w:hAnsi="Times New Roman" w:cs="Times New Roman"/>
                      <w:kern w:val="21"/>
                      <w:sz w:val="21"/>
                      <w:szCs w:val="21"/>
                    </w:rPr>
                    <w:t>企业已于2015年停产至今，正在制定重污染天气应急预案。</w:t>
                  </w:r>
                </w:p>
                <w:p>
                  <w:pPr>
                    <w:pStyle w:val="33"/>
                    <w:snapToGrid/>
                    <w:spacing w:before="0" w:after="0" w:line="240" w:lineRule="auto"/>
                    <w:ind w:right="0" w:firstLine="0" w:firstLineChars="0"/>
                    <w:rPr>
                      <w:rFonts w:ascii="Times New Roman" w:hAnsi="Times New Roman" w:cs="Times New Roman"/>
                      <w:kern w:val="21"/>
                      <w:sz w:val="21"/>
                      <w:szCs w:val="21"/>
                    </w:rPr>
                  </w:pPr>
                  <w:r>
                    <w:rPr>
                      <w:rFonts w:hint="eastAsia"/>
                      <w:kern w:val="21"/>
                      <w:sz w:val="21"/>
                      <w:szCs w:val="21"/>
                    </w:rPr>
                    <w:t>④</w:t>
                  </w:r>
                  <w:r>
                    <w:rPr>
                      <w:rFonts w:ascii="Times New Roman" w:hAnsi="Times New Roman" w:cs="Times New Roman"/>
                      <w:kern w:val="21"/>
                      <w:sz w:val="21"/>
                      <w:szCs w:val="21"/>
                    </w:rPr>
                    <w:t>项目采用清洁能源天然气作为燃料，配套建设脱硝装置，污染物排放限值能够达到《山西省工业炉窑大气污染综合治理实施方案》中相关要求。</w:t>
                  </w:r>
                </w:p>
                <w:p>
                  <w:pPr>
                    <w:pStyle w:val="33"/>
                    <w:snapToGrid/>
                    <w:spacing w:before="0" w:after="0" w:line="240" w:lineRule="auto"/>
                    <w:ind w:right="0" w:firstLine="0" w:firstLineChars="0"/>
                    <w:rPr>
                      <w:rFonts w:ascii="Times New Roman" w:hAnsi="Times New Roman" w:cs="Times New Roman"/>
                      <w:sz w:val="21"/>
                      <w:szCs w:val="16"/>
                    </w:rPr>
                  </w:pPr>
                  <w:r>
                    <w:rPr>
                      <w:rFonts w:hint="eastAsia" w:ascii="Times New Roman" w:hAnsi="Times New Roman" w:cs="Times New Roman"/>
                      <w:sz w:val="21"/>
                      <w:szCs w:val="16"/>
                    </w:rPr>
                    <w:t>⑤</w:t>
                  </w:r>
                  <w:r>
                    <w:rPr>
                      <w:rFonts w:ascii="Times New Roman" w:hAnsi="Times New Roman" w:cs="Times New Roman"/>
                      <w:sz w:val="21"/>
                      <w:szCs w:val="16"/>
                    </w:rPr>
                    <w:t>项目污染物不涉及重金属。</w:t>
                  </w:r>
                </w:p>
              </w:tc>
              <w:tc>
                <w:tcPr>
                  <w:tcW w:w="66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77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环境风险管控</w:t>
                  </w:r>
                </w:p>
              </w:tc>
              <w:tc>
                <w:tcPr>
                  <w:tcW w:w="3250" w:type="dxa"/>
                  <w:vAlign w:val="center"/>
                </w:tcPr>
                <w:p>
                  <w:pPr>
                    <w:jc w:val="left"/>
                    <w:rPr>
                      <w:sz w:val="24"/>
                    </w:rPr>
                  </w:pPr>
                  <w:r>
                    <w:rPr>
                      <w:rFonts w:hint="eastAsia"/>
                      <w:bCs/>
                      <w:kern w:val="0"/>
                      <w:szCs w:val="21"/>
                    </w:rPr>
                    <w:t>1</w:t>
                  </w:r>
                  <w:r>
                    <w:rPr>
                      <w:bCs/>
                      <w:kern w:val="0"/>
                      <w:szCs w:val="21"/>
                    </w:rPr>
                    <w:t>、工业固体废物和危险废物的贮存、处置、利用单位，应当按照相关标准要求，建设防渗漏、防流失、防扬散等设施，并进行定期维护，保证其正常运行和使用。</w:t>
                  </w:r>
                </w:p>
              </w:tc>
              <w:tc>
                <w:tcPr>
                  <w:tcW w:w="155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企业拟建设10m</w:t>
                  </w:r>
                  <w:r>
                    <w:rPr>
                      <w:rFonts w:ascii="Times New Roman" w:hAnsi="Times New Roman" w:cs="Times New Roman"/>
                      <w:kern w:val="21"/>
                      <w:sz w:val="21"/>
                      <w:szCs w:val="21"/>
                      <w:vertAlign w:val="superscript"/>
                    </w:rPr>
                    <w:t>2</w:t>
                  </w:r>
                  <w:r>
                    <w:rPr>
                      <w:rFonts w:ascii="Times New Roman" w:hAnsi="Times New Roman" w:cs="Times New Roman"/>
                      <w:kern w:val="21"/>
                      <w:sz w:val="21"/>
                      <w:szCs w:val="21"/>
                    </w:rPr>
                    <w:t>危废暂存间，对产生的危险废物进行收集，并定期交由有资质单位处理。</w:t>
                  </w:r>
                </w:p>
              </w:tc>
              <w:tc>
                <w:tcPr>
                  <w:tcW w:w="66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77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资源利用效率</w:t>
                  </w:r>
                </w:p>
              </w:tc>
              <w:tc>
                <w:tcPr>
                  <w:tcW w:w="3250" w:type="dxa"/>
                  <w:vAlign w:val="center"/>
                </w:tcPr>
                <w:p>
                  <w:pPr>
                    <w:jc w:val="left"/>
                    <w:rPr>
                      <w:bCs/>
                      <w:kern w:val="0"/>
                      <w:szCs w:val="21"/>
                    </w:rPr>
                  </w:pPr>
                  <w:r>
                    <w:rPr>
                      <w:rFonts w:hint="eastAsia"/>
                      <w:bCs/>
                      <w:kern w:val="0"/>
                      <w:szCs w:val="21"/>
                    </w:rPr>
                    <w:t>1</w:t>
                  </w:r>
                  <w:r>
                    <w:rPr>
                      <w:bCs/>
                      <w:kern w:val="0"/>
                      <w:szCs w:val="21"/>
                    </w:rPr>
                    <w:t>、铸造企业应执行铸造企业规范条件（T/CFA0310021--2019）相关要求。</w:t>
                  </w:r>
                </w:p>
              </w:tc>
              <w:tc>
                <w:tcPr>
                  <w:tcW w:w="155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本项目《国民经济行业分类》为C3393，《铸造企业规范条件》不适用于本项目。</w:t>
                  </w:r>
                </w:p>
              </w:tc>
              <w:tc>
                <w:tcPr>
                  <w:tcW w:w="669" w:type="dxa"/>
                  <w:vAlign w:val="center"/>
                </w:tcPr>
                <w:p>
                  <w:pPr>
                    <w:pStyle w:val="33"/>
                    <w:snapToGrid/>
                    <w:spacing w:before="0" w:after="0" w:line="240" w:lineRule="auto"/>
                    <w:ind w:right="0" w:firstLine="0" w:firstLineChars="0"/>
                    <w:jc w:val="center"/>
                    <w:rPr>
                      <w:rFonts w:ascii="Times New Roman" w:hAnsi="Times New Roman" w:cs="Times New Roman"/>
                      <w:kern w:val="21"/>
                      <w:sz w:val="21"/>
                      <w:szCs w:val="21"/>
                    </w:rPr>
                  </w:pPr>
                  <w:r>
                    <w:rPr>
                      <w:rFonts w:ascii="Times New Roman" w:hAnsi="Times New Roman" w:cs="Times New Roman"/>
                      <w:kern w:val="21"/>
                      <w:sz w:val="21"/>
                      <w:szCs w:val="21"/>
                    </w:rPr>
                    <w:t>符合</w:t>
                  </w:r>
                </w:p>
              </w:tc>
            </w:tr>
          </w:tbl>
          <w:p>
            <w:pPr>
              <w:autoSpaceDE w:val="0"/>
              <w:autoSpaceDN w:val="0"/>
              <w:adjustRightInd w:val="0"/>
              <w:snapToGrid w:val="0"/>
              <w:spacing w:line="360" w:lineRule="auto"/>
              <w:ind w:firstLine="480" w:firstLineChars="200"/>
              <w:rPr>
                <w:bCs/>
                <w:kern w:val="0"/>
                <w:sz w:val="24"/>
              </w:rPr>
            </w:pPr>
            <w:r>
              <w:rPr>
                <w:bCs/>
                <w:kern w:val="0"/>
                <w:sz w:val="24"/>
              </w:rPr>
              <w:t>3、与《定襄县法兰锻造行业整改规范三十条》（定发〔2018〕6号）文的符合性分析</w:t>
            </w:r>
          </w:p>
          <w:p>
            <w:pPr>
              <w:autoSpaceDE w:val="0"/>
              <w:autoSpaceDN w:val="0"/>
              <w:adjustRightInd w:val="0"/>
              <w:snapToGrid w:val="0"/>
              <w:spacing w:line="360" w:lineRule="auto"/>
              <w:ind w:firstLine="480" w:firstLineChars="200"/>
              <w:rPr>
                <w:bCs/>
                <w:kern w:val="0"/>
                <w:sz w:val="24"/>
              </w:rPr>
            </w:pPr>
            <w:r>
              <w:rPr>
                <w:bCs/>
                <w:kern w:val="0"/>
                <w:sz w:val="24"/>
              </w:rPr>
              <w:t>2018年2月5日，中共定襄县委、定襄县人民政府发布《定襄县法兰锻造行业整改规范三十条》（定发[2018]6号），其中环保规范要求符合性分析见下表：</w:t>
            </w:r>
          </w:p>
          <w:p>
            <w:pPr>
              <w:adjustRightInd w:val="0"/>
              <w:snapToGrid w:val="0"/>
              <w:spacing w:line="360" w:lineRule="auto"/>
              <w:jc w:val="center"/>
              <w:rPr>
                <w:b/>
                <w:bCs/>
                <w:kern w:val="0"/>
                <w:szCs w:val="21"/>
              </w:rPr>
            </w:pPr>
            <w:r>
              <w:rPr>
                <w:b/>
                <w:bCs/>
                <w:kern w:val="0"/>
                <w:szCs w:val="21"/>
              </w:rPr>
              <w:t>表</w:t>
            </w:r>
            <w:r>
              <w:rPr>
                <w:rFonts w:hint="eastAsia"/>
                <w:b/>
                <w:bCs/>
                <w:kern w:val="0"/>
                <w:szCs w:val="21"/>
              </w:rPr>
              <w:t>2</w:t>
            </w:r>
            <w:r>
              <w:rPr>
                <w:b/>
                <w:bCs/>
                <w:kern w:val="0"/>
                <w:szCs w:val="21"/>
              </w:rPr>
              <w:t xml:space="preserve">  与《定襄县法兰锻造行业整改规范三十条》符合性分析</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5"/>
              <w:gridCol w:w="2719"/>
              <w:gridCol w:w="2242"/>
              <w:gridCol w:w="7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485" w:type="dxa"/>
                  <w:tcBorders>
                    <w:tl2br w:val="nil"/>
                    <w:tr2bl w:val="nil"/>
                  </w:tcBorders>
                  <w:vAlign w:val="center"/>
                </w:tcPr>
                <w:p>
                  <w:pPr>
                    <w:jc w:val="center"/>
                    <w:rPr>
                      <w:szCs w:val="21"/>
                    </w:rPr>
                  </w:pPr>
                  <w:r>
                    <w:rPr>
                      <w:szCs w:val="21"/>
                    </w:rPr>
                    <w:t>序号</w:t>
                  </w:r>
                </w:p>
              </w:tc>
              <w:tc>
                <w:tcPr>
                  <w:tcW w:w="2719" w:type="dxa"/>
                  <w:tcBorders>
                    <w:tl2br w:val="nil"/>
                    <w:tr2bl w:val="nil"/>
                  </w:tcBorders>
                  <w:vAlign w:val="center"/>
                </w:tcPr>
                <w:p>
                  <w:pPr>
                    <w:jc w:val="center"/>
                    <w:rPr>
                      <w:szCs w:val="21"/>
                    </w:rPr>
                  </w:pPr>
                  <w:r>
                    <w:rPr>
                      <w:szCs w:val="21"/>
                    </w:rPr>
                    <w:t>《定襄县法兰锻造行业整改规范三十条》环保规范要求</w:t>
                  </w:r>
                </w:p>
              </w:tc>
              <w:tc>
                <w:tcPr>
                  <w:tcW w:w="2242" w:type="dxa"/>
                  <w:tcBorders>
                    <w:tl2br w:val="nil"/>
                    <w:tr2bl w:val="nil"/>
                  </w:tcBorders>
                  <w:vAlign w:val="center"/>
                </w:tcPr>
                <w:p>
                  <w:pPr>
                    <w:jc w:val="center"/>
                    <w:rPr>
                      <w:szCs w:val="21"/>
                    </w:rPr>
                  </w:pPr>
                  <w:r>
                    <w:rPr>
                      <w:szCs w:val="21"/>
                    </w:rPr>
                    <w:t>实际情况</w:t>
                  </w:r>
                </w:p>
              </w:tc>
              <w:tc>
                <w:tcPr>
                  <w:tcW w:w="796" w:type="dxa"/>
                  <w:tcBorders>
                    <w:tl2br w:val="nil"/>
                    <w:tr2bl w:val="nil"/>
                  </w:tcBorders>
                  <w:vAlign w:val="center"/>
                </w:tcPr>
                <w:p>
                  <w:pPr>
                    <w:jc w:val="center"/>
                    <w:rPr>
                      <w:szCs w:val="21"/>
                    </w:rPr>
                  </w:pPr>
                  <w:r>
                    <w:rPr>
                      <w:szCs w:val="21"/>
                    </w:rP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9" w:hRule="atLeast"/>
              </w:trPr>
              <w:tc>
                <w:tcPr>
                  <w:tcW w:w="485" w:type="dxa"/>
                  <w:tcBorders>
                    <w:tl2br w:val="nil"/>
                    <w:tr2bl w:val="nil"/>
                  </w:tcBorders>
                  <w:vAlign w:val="center"/>
                </w:tcPr>
                <w:p>
                  <w:pPr>
                    <w:jc w:val="center"/>
                    <w:rPr>
                      <w:szCs w:val="21"/>
                    </w:rPr>
                  </w:pPr>
                  <w:r>
                    <w:rPr>
                      <w:szCs w:val="21"/>
                    </w:rPr>
                    <w:t>1</w:t>
                  </w:r>
                </w:p>
              </w:tc>
              <w:tc>
                <w:tcPr>
                  <w:tcW w:w="2719" w:type="dxa"/>
                  <w:tcBorders>
                    <w:tl2br w:val="nil"/>
                    <w:tr2bl w:val="nil"/>
                  </w:tcBorders>
                  <w:vAlign w:val="center"/>
                </w:tcPr>
                <w:p>
                  <w:pPr>
                    <w:jc w:val="center"/>
                    <w:rPr>
                      <w:szCs w:val="21"/>
                    </w:rPr>
                  </w:pPr>
                  <w:r>
                    <w:rPr>
                      <w:szCs w:val="21"/>
                    </w:rPr>
                    <w:t>建设单位环评审批手续、技术资料与环境保护档案资料齐全，持有有效期内的排污许可证，企业的环保工程与主体工程同时运行，并具备完善的运行合账。</w:t>
                  </w:r>
                </w:p>
              </w:tc>
              <w:tc>
                <w:tcPr>
                  <w:tcW w:w="2242" w:type="dxa"/>
                  <w:tcBorders>
                    <w:tl2br w:val="nil"/>
                    <w:tr2bl w:val="nil"/>
                  </w:tcBorders>
                  <w:vAlign w:val="center"/>
                </w:tcPr>
                <w:p>
                  <w:pPr>
                    <w:jc w:val="center"/>
                    <w:rPr>
                      <w:szCs w:val="21"/>
                    </w:rPr>
                  </w:pPr>
                  <w:r>
                    <w:rPr>
                      <w:szCs w:val="21"/>
                    </w:rPr>
                    <w:t>企业已于2015年停产至今，建设单位原有工程环评审批手续、技术资料与环境保护档案资料齐全，</w:t>
                  </w:r>
                  <w:r>
                    <w:rPr>
                      <w:rFonts w:hint="eastAsia"/>
                      <w:szCs w:val="21"/>
                    </w:rPr>
                    <w:t>原排污许可证编号1422000373</w:t>
                  </w:r>
                  <w:r>
                    <w:rPr>
                      <w:szCs w:val="21"/>
                    </w:rPr>
                    <w:t>，企业的环保工程与主体工程同时运行，并具备完善的运行合账。</w:t>
                  </w:r>
                </w:p>
              </w:tc>
              <w:tc>
                <w:tcPr>
                  <w:tcW w:w="796" w:type="dxa"/>
                  <w:tcBorders>
                    <w:tl2br w:val="nil"/>
                    <w:tr2bl w:val="nil"/>
                  </w:tcBorders>
                  <w:vAlign w:val="center"/>
                </w:tcPr>
                <w:p>
                  <w:pPr>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9" w:hRule="atLeast"/>
              </w:trPr>
              <w:tc>
                <w:tcPr>
                  <w:tcW w:w="485" w:type="dxa"/>
                  <w:tcBorders>
                    <w:tl2br w:val="nil"/>
                    <w:tr2bl w:val="nil"/>
                  </w:tcBorders>
                  <w:vAlign w:val="center"/>
                </w:tcPr>
                <w:p>
                  <w:pPr>
                    <w:jc w:val="center"/>
                    <w:rPr>
                      <w:szCs w:val="21"/>
                    </w:rPr>
                  </w:pPr>
                  <w:r>
                    <w:rPr>
                      <w:szCs w:val="21"/>
                    </w:rPr>
                    <w:t>2</w:t>
                  </w:r>
                </w:p>
              </w:tc>
              <w:tc>
                <w:tcPr>
                  <w:tcW w:w="2719" w:type="dxa"/>
                  <w:tcBorders>
                    <w:tl2br w:val="nil"/>
                    <w:tr2bl w:val="nil"/>
                  </w:tcBorders>
                  <w:vAlign w:val="center"/>
                </w:tcPr>
                <w:p>
                  <w:pPr>
                    <w:jc w:val="center"/>
                    <w:rPr>
                      <w:szCs w:val="21"/>
                    </w:rPr>
                  </w:pPr>
                  <w:r>
                    <w:rPr>
                      <w:szCs w:val="21"/>
                    </w:rPr>
                    <w:t>全部拆除燃煤设施，加热炉采用电、天然气等清洁能源进行加热。冬季采暖采取集中供热或使用天然气、电等清洁能源供暖。加强管理，确保设施稳定运行、排放达标。</w:t>
                  </w:r>
                </w:p>
              </w:tc>
              <w:tc>
                <w:tcPr>
                  <w:tcW w:w="2242" w:type="dxa"/>
                  <w:tcBorders>
                    <w:tl2br w:val="nil"/>
                    <w:tr2bl w:val="nil"/>
                  </w:tcBorders>
                  <w:vAlign w:val="center"/>
                </w:tcPr>
                <w:p>
                  <w:pPr>
                    <w:jc w:val="center"/>
                    <w:rPr>
                      <w:szCs w:val="21"/>
                    </w:rPr>
                  </w:pPr>
                  <w:r>
                    <w:rPr>
                      <w:szCs w:val="21"/>
                    </w:rPr>
                    <w:t>企业燃煤加热炉已拆除，拟建设天然气加热炉；冬季采暖采用电采暖。污染物可达标排放。</w:t>
                  </w:r>
                </w:p>
              </w:tc>
              <w:tc>
                <w:tcPr>
                  <w:tcW w:w="796" w:type="dxa"/>
                  <w:tcBorders>
                    <w:tl2br w:val="nil"/>
                    <w:tr2bl w:val="nil"/>
                  </w:tcBorders>
                  <w:vAlign w:val="center"/>
                </w:tcPr>
                <w:p>
                  <w:pPr>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85" w:type="dxa"/>
                  <w:tcBorders>
                    <w:tl2br w:val="nil"/>
                    <w:tr2bl w:val="nil"/>
                  </w:tcBorders>
                  <w:vAlign w:val="center"/>
                </w:tcPr>
                <w:p>
                  <w:pPr>
                    <w:jc w:val="center"/>
                    <w:rPr>
                      <w:szCs w:val="21"/>
                    </w:rPr>
                  </w:pPr>
                  <w:r>
                    <w:rPr>
                      <w:szCs w:val="21"/>
                    </w:rPr>
                    <w:t>3</w:t>
                  </w:r>
                </w:p>
              </w:tc>
              <w:tc>
                <w:tcPr>
                  <w:tcW w:w="2719" w:type="dxa"/>
                  <w:tcBorders>
                    <w:tl2br w:val="nil"/>
                    <w:tr2bl w:val="nil"/>
                  </w:tcBorders>
                  <w:vAlign w:val="center"/>
                </w:tcPr>
                <w:p>
                  <w:pPr>
                    <w:jc w:val="center"/>
                    <w:rPr>
                      <w:szCs w:val="21"/>
                    </w:rPr>
                  </w:pPr>
                  <w:r>
                    <w:rPr>
                      <w:szCs w:val="21"/>
                    </w:rPr>
                    <w:t>生产设施中的夹棒锤采用围挡实行半封闭，鼓励自动淘汰更新，不得新上夹棒锤；新建的企业机加工设备安装地下排屑系统；产生的废机油等危险物品必须有规范的贮存场所及转运地和转运处理手续。</w:t>
                  </w:r>
                </w:p>
              </w:tc>
              <w:tc>
                <w:tcPr>
                  <w:tcW w:w="2242" w:type="dxa"/>
                  <w:tcBorders>
                    <w:tl2br w:val="nil"/>
                    <w:tr2bl w:val="nil"/>
                  </w:tcBorders>
                  <w:vAlign w:val="center"/>
                </w:tcPr>
                <w:p>
                  <w:pPr>
                    <w:jc w:val="center"/>
                    <w:rPr>
                      <w:szCs w:val="21"/>
                    </w:rPr>
                  </w:pPr>
                  <w:r>
                    <w:rPr>
                      <w:szCs w:val="21"/>
                    </w:rPr>
                    <w:t>企业已于2015年停产至今，锻锤未采取相应的环保措施，本次工程拟对锻锤进行半封闭，四周设置围挡；厂区拟在西南侧设置有10m</w:t>
                  </w:r>
                  <w:r>
                    <w:rPr>
                      <w:szCs w:val="21"/>
                      <w:vertAlign w:val="superscript"/>
                    </w:rPr>
                    <w:t>2</w:t>
                  </w:r>
                  <w:r>
                    <w:rPr>
                      <w:szCs w:val="21"/>
                    </w:rPr>
                    <w:t>的危废暂存间，产生的废机油等危险物品经收集后由有资质的单位进行处置，项目暂未有相关资质的单位签订危险废物处置协议。</w:t>
                  </w:r>
                </w:p>
              </w:tc>
              <w:tc>
                <w:tcPr>
                  <w:tcW w:w="796" w:type="dxa"/>
                  <w:tcBorders>
                    <w:tl2br w:val="nil"/>
                    <w:tr2bl w:val="nil"/>
                  </w:tcBorders>
                  <w:vAlign w:val="center"/>
                </w:tcPr>
                <w:p>
                  <w:pPr>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16" w:hRule="atLeast"/>
              </w:trPr>
              <w:tc>
                <w:tcPr>
                  <w:tcW w:w="485" w:type="dxa"/>
                  <w:tcBorders>
                    <w:tl2br w:val="nil"/>
                    <w:tr2bl w:val="nil"/>
                  </w:tcBorders>
                  <w:vAlign w:val="center"/>
                </w:tcPr>
                <w:p>
                  <w:pPr>
                    <w:jc w:val="center"/>
                    <w:rPr>
                      <w:szCs w:val="21"/>
                    </w:rPr>
                  </w:pPr>
                  <w:r>
                    <w:rPr>
                      <w:szCs w:val="21"/>
                    </w:rPr>
                    <w:t>4</w:t>
                  </w:r>
                </w:p>
              </w:tc>
              <w:tc>
                <w:tcPr>
                  <w:tcW w:w="2719" w:type="dxa"/>
                  <w:tcBorders>
                    <w:tl2br w:val="nil"/>
                    <w:tr2bl w:val="nil"/>
                  </w:tcBorders>
                  <w:vAlign w:val="center"/>
                </w:tcPr>
                <w:p>
                  <w:pPr>
                    <w:jc w:val="center"/>
                    <w:rPr>
                      <w:szCs w:val="21"/>
                    </w:rPr>
                  </w:pPr>
                  <w:r>
                    <w:rPr>
                      <w:szCs w:val="21"/>
                    </w:rPr>
                    <w:t>企业制定操作性强、针对性强、可查可控、便于监管的重污染天气应急预案。在重污染天气应急响应期间，按照预警等级要求减排到位，建立健全相关档案资料，此项工作在2018年3月底前完成。</w:t>
                  </w:r>
                </w:p>
              </w:tc>
              <w:tc>
                <w:tcPr>
                  <w:tcW w:w="2242" w:type="dxa"/>
                  <w:tcBorders>
                    <w:tl2br w:val="nil"/>
                    <w:tr2bl w:val="nil"/>
                  </w:tcBorders>
                  <w:vAlign w:val="center"/>
                </w:tcPr>
                <w:p>
                  <w:pPr>
                    <w:jc w:val="center"/>
                    <w:rPr>
                      <w:szCs w:val="21"/>
                    </w:rPr>
                  </w:pPr>
                  <w:r>
                    <w:rPr>
                      <w:szCs w:val="21"/>
                    </w:rPr>
                    <w:t>企业已于2015年停产至今，正在制定重污染天气应急预案</w:t>
                  </w:r>
                </w:p>
              </w:tc>
              <w:tc>
                <w:tcPr>
                  <w:tcW w:w="796" w:type="dxa"/>
                  <w:tcBorders>
                    <w:tl2br w:val="nil"/>
                    <w:tr2bl w:val="nil"/>
                  </w:tcBorders>
                  <w:vAlign w:val="center"/>
                </w:tcPr>
                <w:p>
                  <w:pPr>
                    <w:jc w:val="center"/>
                    <w:rPr>
                      <w:szCs w:val="21"/>
                    </w:rPr>
                  </w:pPr>
                  <w:r>
                    <w:rPr>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26" w:hRule="atLeast"/>
              </w:trPr>
              <w:tc>
                <w:tcPr>
                  <w:tcW w:w="485" w:type="dxa"/>
                  <w:tcBorders>
                    <w:tl2br w:val="nil"/>
                    <w:tr2bl w:val="nil"/>
                  </w:tcBorders>
                  <w:vAlign w:val="center"/>
                </w:tcPr>
                <w:p>
                  <w:pPr>
                    <w:jc w:val="center"/>
                    <w:rPr>
                      <w:szCs w:val="21"/>
                    </w:rPr>
                  </w:pPr>
                  <w:r>
                    <w:rPr>
                      <w:szCs w:val="21"/>
                    </w:rPr>
                    <w:t>5</w:t>
                  </w:r>
                </w:p>
              </w:tc>
              <w:tc>
                <w:tcPr>
                  <w:tcW w:w="2719" w:type="dxa"/>
                  <w:tcBorders>
                    <w:tl2br w:val="nil"/>
                    <w:tr2bl w:val="nil"/>
                  </w:tcBorders>
                  <w:vAlign w:val="center"/>
                </w:tcPr>
                <w:p>
                  <w:pPr>
                    <w:jc w:val="center"/>
                    <w:rPr>
                      <w:szCs w:val="21"/>
                    </w:rPr>
                  </w:pPr>
                  <w:r>
                    <w:rPr>
                      <w:szCs w:val="21"/>
                    </w:rPr>
                    <w:t>企业要制定环境保护管理机制，厂区内除料场外地面实施硬化，裸露部分全部绿化，防止扬尘污染。厂界周边也要清理“三堆”，保持环境干净整洁，绿化要乔灌结合、花草搭配，栽植大乔大木，以便减轻噪音，净化空气。厂区外墙粉刷，以乡镇统一标准。此项工作在2018年6月20日前完成。</w:t>
                  </w:r>
                </w:p>
              </w:tc>
              <w:tc>
                <w:tcPr>
                  <w:tcW w:w="2242" w:type="dxa"/>
                  <w:tcBorders>
                    <w:tl2br w:val="nil"/>
                    <w:tr2bl w:val="nil"/>
                  </w:tcBorders>
                  <w:vAlign w:val="center"/>
                </w:tcPr>
                <w:p>
                  <w:pPr>
                    <w:jc w:val="center"/>
                    <w:rPr>
                      <w:szCs w:val="21"/>
                    </w:rPr>
                  </w:pPr>
                  <w:r>
                    <w:rPr>
                      <w:szCs w:val="21"/>
                    </w:rPr>
                    <w:t>企业已于2015年停产至今，正在逐步完善环境保护管理机制，对场地地面进行硬化，对厂界周围环境进行清洁</w:t>
                  </w:r>
                  <w:r>
                    <w:rPr>
                      <w:rFonts w:hint="eastAsia"/>
                      <w:szCs w:val="21"/>
                    </w:rPr>
                    <w:t>，</w:t>
                  </w:r>
                  <w:r>
                    <w:rPr>
                      <w:szCs w:val="21"/>
                    </w:rPr>
                    <w:t>并对厂区进行绿化。</w:t>
                  </w:r>
                </w:p>
              </w:tc>
              <w:tc>
                <w:tcPr>
                  <w:tcW w:w="796" w:type="dxa"/>
                  <w:tcBorders>
                    <w:tl2br w:val="nil"/>
                    <w:tr2bl w:val="nil"/>
                  </w:tcBorders>
                  <w:vAlign w:val="center"/>
                </w:tcPr>
                <w:p>
                  <w:pPr>
                    <w:jc w:val="center"/>
                    <w:rPr>
                      <w:szCs w:val="21"/>
                    </w:rPr>
                  </w:pPr>
                  <w:r>
                    <w:rPr>
                      <w:szCs w:val="21"/>
                    </w:rPr>
                    <w:t>符合</w:t>
                  </w:r>
                </w:p>
              </w:tc>
            </w:tr>
          </w:tbl>
          <w:p>
            <w:pPr>
              <w:spacing w:line="360" w:lineRule="auto"/>
              <w:ind w:firstLine="480" w:firstLineChars="200"/>
              <w:rPr>
                <w:bCs/>
                <w:kern w:val="0"/>
                <w:sz w:val="24"/>
              </w:rPr>
            </w:pPr>
            <w:r>
              <w:rPr>
                <w:bCs/>
                <w:kern w:val="0"/>
                <w:sz w:val="24"/>
              </w:rPr>
              <w:t>4、与《山西省工业炉窑大气污染物综合治理实施方案》（晋环大气〔2019〕164号）文件的符合性分析</w:t>
            </w:r>
          </w:p>
          <w:p>
            <w:pPr>
              <w:adjustRightInd w:val="0"/>
              <w:snapToGrid w:val="0"/>
              <w:spacing w:line="360" w:lineRule="auto"/>
              <w:jc w:val="center"/>
              <w:rPr>
                <w:b/>
                <w:bCs/>
                <w:spacing w:val="-10"/>
                <w:kern w:val="0"/>
                <w:szCs w:val="21"/>
              </w:rPr>
            </w:pPr>
          </w:p>
          <w:p>
            <w:pPr>
              <w:adjustRightInd w:val="0"/>
              <w:snapToGrid w:val="0"/>
              <w:spacing w:line="360" w:lineRule="auto"/>
              <w:jc w:val="center"/>
              <w:rPr>
                <w:b/>
                <w:bCs/>
                <w:spacing w:val="-10"/>
                <w:kern w:val="0"/>
                <w:szCs w:val="21"/>
              </w:rPr>
            </w:pPr>
          </w:p>
          <w:p>
            <w:pPr>
              <w:adjustRightInd w:val="0"/>
              <w:snapToGrid w:val="0"/>
              <w:spacing w:line="360" w:lineRule="auto"/>
              <w:jc w:val="center"/>
              <w:rPr>
                <w:b/>
                <w:bCs/>
                <w:spacing w:val="-10"/>
                <w:kern w:val="0"/>
                <w:szCs w:val="21"/>
              </w:rPr>
            </w:pPr>
          </w:p>
          <w:p>
            <w:pPr>
              <w:adjustRightInd w:val="0"/>
              <w:snapToGrid w:val="0"/>
              <w:spacing w:line="360" w:lineRule="auto"/>
              <w:jc w:val="center"/>
              <w:rPr>
                <w:b/>
                <w:bCs/>
                <w:spacing w:val="-10"/>
                <w:kern w:val="0"/>
                <w:szCs w:val="21"/>
              </w:rPr>
            </w:pPr>
          </w:p>
          <w:p>
            <w:pPr>
              <w:adjustRightInd w:val="0"/>
              <w:snapToGrid w:val="0"/>
              <w:spacing w:line="360" w:lineRule="auto"/>
              <w:jc w:val="center"/>
              <w:rPr>
                <w:b/>
                <w:bCs/>
                <w:spacing w:val="-10"/>
                <w:kern w:val="0"/>
                <w:szCs w:val="21"/>
              </w:rPr>
            </w:pPr>
          </w:p>
          <w:p>
            <w:pPr>
              <w:adjustRightInd w:val="0"/>
              <w:snapToGrid w:val="0"/>
              <w:spacing w:line="360" w:lineRule="auto"/>
              <w:jc w:val="center"/>
              <w:rPr>
                <w:b/>
                <w:bCs/>
                <w:spacing w:val="-10"/>
                <w:kern w:val="0"/>
                <w:szCs w:val="21"/>
              </w:rPr>
            </w:pPr>
            <w:r>
              <w:rPr>
                <w:b/>
                <w:bCs/>
                <w:spacing w:val="-10"/>
                <w:kern w:val="0"/>
                <w:szCs w:val="21"/>
              </w:rPr>
              <w:t>表</w:t>
            </w:r>
            <w:r>
              <w:rPr>
                <w:rFonts w:hint="eastAsia"/>
                <w:b/>
                <w:bCs/>
                <w:spacing w:val="-10"/>
                <w:kern w:val="0"/>
                <w:szCs w:val="21"/>
              </w:rPr>
              <w:t>3</w:t>
            </w:r>
            <w:r>
              <w:rPr>
                <w:b/>
                <w:bCs/>
                <w:spacing w:val="-10"/>
                <w:kern w:val="0"/>
                <w:szCs w:val="21"/>
              </w:rPr>
              <w:t xml:space="preserve">  与《山西省工业炉窑大气污染物综合治理实施方案》符合性分析</w:t>
            </w:r>
          </w:p>
          <w:tbl>
            <w:tblPr>
              <w:tblStyle w:val="13"/>
              <w:tblW w:w="499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7"/>
              <w:gridCol w:w="2783"/>
              <w:gridCol w:w="2190"/>
              <w:gridCol w:w="7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31"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序号</w:t>
                  </w:r>
                </w:p>
              </w:tc>
              <w:tc>
                <w:tcPr>
                  <w:tcW w:w="2231"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《山西省工业炉窑大气污染综合治理实施方案》要求</w:t>
                  </w:r>
                </w:p>
              </w:tc>
              <w:tc>
                <w:tcPr>
                  <w:tcW w:w="1756" w:type="pct"/>
                  <w:tcBorders>
                    <w:tl2br w:val="nil"/>
                    <w:tr2bl w:val="nil"/>
                  </w:tcBorders>
                  <w:vAlign w:val="center"/>
                </w:tcPr>
                <w:p>
                  <w:pPr>
                    <w:jc w:val="center"/>
                    <w:rPr>
                      <w:szCs w:val="21"/>
                    </w:rPr>
                  </w:pPr>
                  <w:r>
                    <w:rPr>
                      <w:szCs w:val="21"/>
                    </w:rPr>
                    <w:t>实际情况</w:t>
                  </w:r>
                </w:p>
              </w:tc>
              <w:tc>
                <w:tcPr>
                  <w:tcW w:w="582" w:type="pct"/>
                  <w:tcBorders>
                    <w:tl2br w:val="nil"/>
                    <w:tr2bl w:val="nil"/>
                  </w:tcBorders>
                  <w:vAlign w:val="center"/>
                </w:tcPr>
                <w:p>
                  <w:pPr>
                    <w:jc w:val="center"/>
                    <w:rPr>
                      <w:szCs w:val="21"/>
                    </w:rPr>
                  </w:pPr>
                  <w:r>
                    <w:rPr>
                      <w:szCs w:val="21"/>
                    </w:rP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31"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1</w:t>
                  </w:r>
                </w:p>
              </w:tc>
              <w:tc>
                <w:tcPr>
                  <w:tcW w:w="2231"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严格建设项目环境准入。新建涉工业炉窑的建设项目，原则上要入园区，并符合园区规划环境影响评价要求，配套建设高效环保治理措施。</w:t>
                  </w:r>
                </w:p>
              </w:tc>
              <w:tc>
                <w:tcPr>
                  <w:tcW w:w="1756"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本项目位于定襄县留晖工业聚集区，项目在原有场地进行，不新增占地，项目性质为扩建，拟建设配套脱硝装置。</w:t>
                  </w:r>
                </w:p>
              </w:tc>
              <w:tc>
                <w:tcPr>
                  <w:tcW w:w="582"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31"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2</w:t>
                  </w:r>
                </w:p>
              </w:tc>
              <w:tc>
                <w:tcPr>
                  <w:tcW w:w="2231"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加快燃料清洁低碳化替代。加快淘汰燃煤工业炉窑，取缔燃煤加热炉。</w:t>
                  </w:r>
                </w:p>
              </w:tc>
              <w:tc>
                <w:tcPr>
                  <w:tcW w:w="1756"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企业燃煤加热炉已拆除，拟建为天然气加热炉；冬季采暖采用电采暖。污染物可以实现达标排放。</w:t>
                  </w:r>
                </w:p>
              </w:tc>
              <w:tc>
                <w:tcPr>
                  <w:tcW w:w="582"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81" w:hRule="atLeast"/>
              </w:trPr>
              <w:tc>
                <w:tcPr>
                  <w:tcW w:w="431"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3</w:t>
                  </w:r>
                </w:p>
              </w:tc>
              <w:tc>
                <w:tcPr>
                  <w:tcW w:w="2231"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实施污染深度治理。推进工业炉窑全面达标排放。颗粒物、二氧化硫、氮氧化物排放限值分别不高于30、200、300mg/m</w:t>
                  </w:r>
                  <w:r>
                    <w:rPr>
                      <w:rFonts w:ascii="Times New Roman" w:eastAsia="宋体" w:cs="Times New Roman"/>
                      <w:color w:val="auto"/>
                      <w:sz w:val="21"/>
                      <w:szCs w:val="21"/>
                      <w:vertAlign w:val="superscript"/>
                    </w:rPr>
                    <w:t>3</w:t>
                  </w:r>
                  <w:r>
                    <w:rPr>
                      <w:rFonts w:ascii="Times New Roman" w:eastAsia="宋体" w:cs="Times New Roman"/>
                      <w:color w:val="auto"/>
                      <w:sz w:val="21"/>
                      <w:szCs w:val="21"/>
                    </w:rPr>
                    <w:t>考核评价。</w:t>
                  </w:r>
                </w:p>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全面加强颗粒物无组织排放管理。粒状、块状物料应采用入棚入仓或建设防风抑尘网等方式进行储存。</w:t>
                  </w:r>
                </w:p>
              </w:tc>
              <w:tc>
                <w:tcPr>
                  <w:tcW w:w="1756"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本项目拟采用天然气为主要燃料，配套建设脱硝装置，颗粒物、二氧化硫、氮氧化物的排放限值可以满足不高于30、200、300mg/m</w:t>
                  </w:r>
                  <w:r>
                    <w:rPr>
                      <w:rFonts w:ascii="Times New Roman" w:eastAsia="宋体" w:cs="Times New Roman"/>
                      <w:color w:val="auto"/>
                      <w:sz w:val="21"/>
                      <w:szCs w:val="21"/>
                      <w:vertAlign w:val="superscript"/>
                    </w:rPr>
                    <w:t>3</w:t>
                  </w:r>
                  <w:r>
                    <w:rPr>
                      <w:rFonts w:ascii="Times New Roman" w:eastAsia="宋体" w:cs="Times New Roman"/>
                      <w:color w:val="auto"/>
                      <w:sz w:val="21"/>
                      <w:szCs w:val="21"/>
                    </w:rPr>
                    <w:t>的要求。且</w:t>
                  </w:r>
                </w:p>
                <w:p>
                  <w:pPr>
                    <w:pStyle w:val="23"/>
                    <w:jc w:val="center"/>
                    <w:rPr>
                      <w:rFonts w:ascii="Times New Roman" w:eastAsia="宋体" w:cs="Times New Roman"/>
                      <w:color w:val="auto"/>
                      <w:sz w:val="21"/>
                      <w:szCs w:val="21"/>
                    </w:rPr>
                  </w:pPr>
                  <w:r>
                    <w:rPr>
                      <w:rFonts w:ascii="Times New Roman" w:eastAsia="宋体" w:cs="Times New Roman"/>
                      <w:color w:val="auto"/>
                      <w:sz w:val="21"/>
                      <w:szCs w:val="21"/>
                    </w:rPr>
                    <w:t>项目原料储存区域设置工棚，减少无组织排放。</w:t>
                  </w:r>
                </w:p>
              </w:tc>
              <w:tc>
                <w:tcPr>
                  <w:tcW w:w="582" w:type="pct"/>
                  <w:tcBorders>
                    <w:tl2br w:val="nil"/>
                    <w:tr2bl w:val="nil"/>
                  </w:tcBorders>
                  <w:vAlign w:val="center"/>
                </w:tcPr>
                <w:p>
                  <w:pPr>
                    <w:pStyle w:val="23"/>
                    <w:adjustRightInd/>
                    <w:jc w:val="center"/>
                    <w:rPr>
                      <w:rFonts w:ascii="Times New Roman" w:eastAsia="宋体" w:cs="Times New Roman"/>
                      <w:color w:val="auto"/>
                      <w:sz w:val="21"/>
                      <w:szCs w:val="21"/>
                    </w:rPr>
                  </w:pPr>
                  <w:r>
                    <w:rPr>
                      <w:rFonts w:ascii="Times New Roman" w:eastAsia="宋体" w:cs="Times New Roman"/>
                      <w:color w:val="auto"/>
                      <w:sz w:val="21"/>
                      <w:szCs w:val="21"/>
                    </w:rPr>
                    <w:t>符合</w:t>
                  </w:r>
                </w:p>
              </w:tc>
            </w:tr>
          </w:tbl>
          <w:p>
            <w:pPr>
              <w:adjustRightInd w:val="0"/>
              <w:snapToGrid w:val="0"/>
              <w:spacing w:line="360" w:lineRule="auto"/>
              <w:ind w:firstLine="480" w:firstLineChars="200"/>
              <w:rPr>
                <w:kern w:val="0"/>
                <w:sz w:val="24"/>
              </w:rPr>
            </w:pPr>
            <w:r>
              <w:rPr>
                <w:kern w:val="0"/>
                <w:sz w:val="24"/>
              </w:rPr>
              <w:t>5、选址可行性分析</w:t>
            </w:r>
          </w:p>
          <w:p>
            <w:pPr>
              <w:autoSpaceDE w:val="0"/>
              <w:autoSpaceDN w:val="0"/>
              <w:adjustRightInd w:val="0"/>
              <w:snapToGrid w:val="0"/>
              <w:spacing w:line="360" w:lineRule="auto"/>
              <w:ind w:firstLine="480" w:firstLineChars="200"/>
              <w:rPr>
                <w:kern w:val="0"/>
                <w:sz w:val="24"/>
              </w:rPr>
            </w:pPr>
            <w:r>
              <w:rPr>
                <w:kern w:val="0"/>
                <w:sz w:val="24"/>
              </w:rPr>
              <w:t>本项目符合山西省主体功能区划及定襄县生态“两区”规划的发展要求，符合“三线一单”要求，项目位于留晖工业聚集区内，在原有场地进行扩建，不新增占地，距定襄县县城3.1km，不在定襄县县城总体规划范围内。</w:t>
            </w:r>
          </w:p>
          <w:p>
            <w:pPr>
              <w:autoSpaceDE w:val="0"/>
              <w:autoSpaceDN w:val="0"/>
              <w:adjustRightInd w:val="0"/>
              <w:snapToGrid w:val="0"/>
              <w:spacing w:line="360" w:lineRule="auto"/>
              <w:ind w:firstLine="480" w:firstLineChars="200"/>
              <w:rPr>
                <w:bCs/>
                <w:kern w:val="0"/>
                <w:sz w:val="24"/>
              </w:rPr>
            </w:pPr>
            <w:r>
              <w:rPr>
                <w:bCs/>
                <w:kern w:val="0"/>
                <w:sz w:val="24"/>
              </w:rPr>
              <w:t>综上所述，本项目建设所在地选址可行。</w:t>
            </w:r>
          </w:p>
          <w:p>
            <w:pPr>
              <w:adjustRightInd w:val="0"/>
              <w:snapToGrid w:val="0"/>
              <w:spacing w:line="360" w:lineRule="auto"/>
              <w:jc w:val="center"/>
              <w:rPr>
                <w:b/>
                <w:bCs/>
                <w:kern w:val="0"/>
                <w:szCs w:val="21"/>
              </w:rPr>
            </w:pPr>
          </w:p>
          <w:p>
            <w:pPr>
              <w:rPr>
                <w:szCs w:val="21"/>
              </w:rPr>
            </w:pPr>
          </w:p>
        </w:tc>
      </w:tr>
    </w:tbl>
    <w:p>
      <w:pPr>
        <w:spacing w:line="360" w:lineRule="auto"/>
        <w:outlineLvl w:val="0"/>
        <w:rPr>
          <w:sz w:val="30"/>
        </w:rPr>
        <w:sectPr>
          <w:footerReference r:id="rId7" w:type="default"/>
          <w:pgSz w:w="11906" w:h="16838"/>
          <w:pgMar w:top="1701" w:right="1531" w:bottom="1701" w:left="1531" w:header="851" w:footer="1077" w:gutter="0"/>
          <w:cols w:space="720" w:num="1"/>
          <w:docGrid w:linePitch="312" w:charSpace="0"/>
        </w:sectPr>
      </w:pPr>
    </w:p>
    <w:p>
      <w:pPr>
        <w:pStyle w:val="10"/>
        <w:jc w:val="center"/>
        <w:outlineLvl w:val="0"/>
        <w:rPr>
          <w:rFonts w:ascii="Times New Roman" w:hAnsi="Times New Roman" w:cs="Times New Roman"/>
          <w:snapToGrid w:val="0"/>
          <w:sz w:val="30"/>
          <w:szCs w:val="30"/>
        </w:rPr>
      </w:pPr>
      <w:r>
        <w:rPr>
          <w:rFonts w:ascii="Times New Roman" w:hAnsi="Times New Roman" w:cs="Times New Roman"/>
          <w:snapToGrid w:val="0"/>
          <w:sz w:val="30"/>
          <w:szCs w:val="30"/>
        </w:rPr>
        <w:t>二、建设项目工程分析</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8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3" w:hRule="atLeast"/>
        </w:trPr>
        <w:tc>
          <w:tcPr>
            <w:tcW w:w="534" w:type="dxa"/>
            <w:vAlign w:val="center"/>
          </w:tcPr>
          <w:p>
            <w:pPr>
              <w:widowControl/>
              <w:jc w:val="center"/>
              <w:rPr>
                <w:sz w:val="24"/>
                <w:szCs w:val="32"/>
              </w:rPr>
            </w:pPr>
            <w:r>
              <w:rPr>
                <w:sz w:val="24"/>
                <w:szCs w:val="32"/>
              </w:rPr>
              <w:t>建设内容</w:t>
            </w:r>
          </w:p>
        </w:tc>
        <w:tc>
          <w:tcPr>
            <w:tcW w:w="8526" w:type="dxa"/>
          </w:tcPr>
          <w:p>
            <w:pPr>
              <w:adjustRightInd w:val="0"/>
              <w:snapToGrid w:val="0"/>
              <w:spacing w:line="360" w:lineRule="auto"/>
              <w:ind w:firstLine="482" w:firstLineChars="200"/>
              <w:rPr>
                <w:b/>
                <w:sz w:val="24"/>
              </w:rPr>
            </w:pPr>
            <w:r>
              <w:rPr>
                <w:b/>
                <w:sz w:val="24"/>
              </w:rPr>
              <w:t>1、项目概况</w:t>
            </w:r>
          </w:p>
          <w:p>
            <w:pPr>
              <w:adjustRightInd w:val="0"/>
              <w:snapToGrid w:val="0"/>
              <w:spacing w:line="360" w:lineRule="auto"/>
              <w:ind w:firstLine="480" w:firstLineChars="200"/>
              <w:rPr>
                <w:bCs/>
                <w:sz w:val="24"/>
              </w:rPr>
            </w:pPr>
            <w:r>
              <w:rPr>
                <w:bCs/>
                <w:sz w:val="24"/>
              </w:rPr>
              <w:t>1）项目名称：年产3000吨锻件、法兰生产线扩建项目</w:t>
            </w:r>
          </w:p>
          <w:p>
            <w:pPr>
              <w:adjustRightInd w:val="0"/>
              <w:snapToGrid w:val="0"/>
              <w:spacing w:line="360" w:lineRule="auto"/>
              <w:ind w:firstLine="480" w:firstLineChars="200"/>
              <w:rPr>
                <w:bCs/>
                <w:sz w:val="24"/>
              </w:rPr>
            </w:pPr>
            <w:r>
              <w:rPr>
                <w:bCs/>
                <w:sz w:val="24"/>
              </w:rPr>
              <w:t>2）建设性质：扩建</w:t>
            </w:r>
          </w:p>
          <w:p>
            <w:pPr>
              <w:adjustRightInd w:val="0"/>
              <w:snapToGrid w:val="0"/>
              <w:spacing w:line="360" w:lineRule="auto"/>
              <w:ind w:firstLine="480" w:firstLineChars="200"/>
              <w:rPr>
                <w:bCs/>
                <w:sz w:val="24"/>
              </w:rPr>
            </w:pPr>
            <w:r>
              <w:rPr>
                <w:bCs/>
                <w:sz w:val="24"/>
              </w:rPr>
              <w:t>3）建设规模：年产3000吨锻件、法兰</w:t>
            </w:r>
          </w:p>
          <w:p>
            <w:pPr>
              <w:adjustRightInd w:val="0"/>
              <w:snapToGrid w:val="0"/>
              <w:spacing w:line="360" w:lineRule="auto"/>
              <w:ind w:firstLine="480" w:firstLineChars="200"/>
              <w:rPr>
                <w:bCs/>
                <w:sz w:val="24"/>
              </w:rPr>
            </w:pPr>
            <w:r>
              <w:rPr>
                <w:bCs/>
                <w:sz w:val="24"/>
              </w:rPr>
              <w:t>4）建设单位：定襄县鑫康机械加工厂</w:t>
            </w:r>
          </w:p>
          <w:p>
            <w:pPr>
              <w:adjustRightInd w:val="0"/>
              <w:snapToGrid w:val="0"/>
              <w:spacing w:line="360" w:lineRule="auto"/>
              <w:ind w:firstLine="480" w:firstLineChars="200"/>
              <w:rPr>
                <w:sz w:val="24"/>
              </w:rPr>
            </w:pPr>
            <w:r>
              <w:rPr>
                <w:bCs/>
                <w:sz w:val="24"/>
              </w:rPr>
              <w:t>5）建设地点：项目位于山西省忻州市定襄县留晖工业聚集区现有场地内，场地中心坐标为E</w:t>
            </w:r>
            <w:r>
              <w:rPr>
                <w:sz w:val="24"/>
              </w:rPr>
              <w:t>112°59′38.858″，N38°27′13.212″，厂区北侧为定襄县古城锻造有限公司，西侧为定襄县安信锻造有限公司，南侧为农田，北侧为宏忻线。项目地理位置见附图1，四邻关系见附图2。</w:t>
            </w:r>
          </w:p>
          <w:p>
            <w:pPr>
              <w:adjustRightInd w:val="0"/>
              <w:snapToGrid w:val="0"/>
              <w:spacing w:line="360" w:lineRule="auto"/>
              <w:ind w:firstLine="482" w:firstLineChars="200"/>
              <w:rPr>
                <w:b/>
                <w:sz w:val="24"/>
              </w:rPr>
            </w:pPr>
            <w:r>
              <w:rPr>
                <w:b/>
                <w:sz w:val="24"/>
              </w:rPr>
              <w:t>2、主要建设内容</w:t>
            </w:r>
          </w:p>
          <w:p>
            <w:pPr>
              <w:adjustRightInd w:val="0"/>
              <w:snapToGrid w:val="0"/>
              <w:spacing w:line="360" w:lineRule="auto"/>
              <w:ind w:firstLine="480" w:firstLineChars="200"/>
              <w:rPr>
                <w:bCs/>
                <w:sz w:val="24"/>
              </w:rPr>
            </w:pPr>
            <w:r>
              <w:rPr>
                <w:bCs/>
                <w:sz w:val="24"/>
              </w:rPr>
              <w:t>本项目租用土地6210</w:t>
            </w:r>
            <w:r>
              <w:rPr>
                <w:rFonts w:hint="eastAsia"/>
                <w:bCs/>
                <w:sz w:val="24"/>
              </w:rPr>
              <w:t>.3</w:t>
            </w:r>
            <w:r>
              <w:rPr>
                <w:bCs/>
                <w:sz w:val="24"/>
              </w:rPr>
              <w:t>m</w:t>
            </w:r>
            <w:r>
              <w:rPr>
                <w:bCs/>
                <w:sz w:val="24"/>
                <w:vertAlign w:val="superscript"/>
              </w:rPr>
              <w:t>2</w:t>
            </w:r>
            <w:r>
              <w:rPr>
                <w:bCs/>
                <w:sz w:val="24"/>
              </w:rPr>
              <w:t>，分两期进行建设。</w:t>
            </w:r>
          </w:p>
          <w:p>
            <w:pPr>
              <w:adjustRightInd w:val="0"/>
              <w:snapToGrid w:val="0"/>
              <w:spacing w:line="360" w:lineRule="auto"/>
              <w:ind w:firstLine="480" w:firstLineChars="200"/>
              <w:rPr>
                <w:bCs/>
                <w:sz w:val="24"/>
              </w:rPr>
            </w:pPr>
            <w:r>
              <w:rPr>
                <w:bCs/>
                <w:sz w:val="24"/>
              </w:rPr>
              <w:t>一期投资800万元，新建厂房1500m</w:t>
            </w:r>
            <w:r>
              <w:rPr>
                <w:bCs/>
                <w:sz w:val="24"/>
                <w:vertAlign w:val="superscript"/>
              </w:rPr>
              <w:t>2</w:t>
            </w:r>
            <w:r>
              <w:rPr>
                <w:bCs/>
                <w:sz w:val="24"/>
              </w:rPr>
              <w:t>，新增天然气加热炉（2.3m×2.1m×1.3m）1台及配套调压柜、脱硝设备各1台，3t行车1台，年新增生产能力500吨，总生产能力达到1000吨。</w:t>
            </w:r>
          </w:p>
          <w:p>
            <w:pPr>
              <w:adjustRightInd w:val="0"/>
              <w:snapToGrid w:val="0"/>
              <w:spacing w:line="360" w:lineRule="auto"/>
              <w:ind w:firstLine="480" w:firstLineChars="200"/>
              <w:rPr>
                <w:bCs/>
                <w:sz w:val="24"/>
              </w:rPr>
            </w:pPr>
            <w:r>
              <w:rPr>
                <w:bCs/>
                <w:sz w:val="24"/>
              </w:rPr>
              <w:t>二期投资1800万元，新增天然气加热炉一台、空气锤2部、操作机1台、卧式碾环机1台、数控钻床3台，年新增生产能力2000吨，总生产能力达到3000吨。主要建设内容见表</w:t>
            </w:r>
            <w:r>
              <w:rPr>
                <w:rFonts w:hint="eastAsia"/>
                <w:bCs/>
                <w:sz w:val="24"/>
              </w:rPr>
              <w:t>4，主要设备见表5</w:t>
            </w:r>
            <w:r>
              <w:rPr>
                <w:bCs/>
                <w:sz w:val="24"/>
              </w:rPr>
              <w:t>。</w:t>
            </w:r>
          </w:p>
          <w:p/>
          <w:p/>
          <w:p/>
          <w:p/>
          <w:p/>
          <w:p/>
          <w:p/>
          <w:p/>
          <w:p/>
          <w:p/>
          <w:p/>
          <w:p/>
          <w:p/>
          <w:p/>
          <w:p/>
        </w:tc>
      </w:tr>
    </w:tbl>
    <w:p>
      <w:pPr>
        <w:widowControl/>
        <w:jc w:val="left"/>
        <w:sectPr>
          <w:pgSz w:w="11906" w:h="16838"/>
          <w:pgMar w:top="1701" w:right="1531" w:bottom="1701" w:left="1531" w:header="851" w:footer="1077" w:gutter="0"/>
          <w:cols w:space="720" w:num="1"/>
          <w:docGrid w:linePitch="312" w:charSpace="0"/>
        </w:sectPr>
      </w:pP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20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widowControl/>
              <w:jc w:val="center"/>
            </w:pPr>
            <w:r>
              <w:rPr>
                <w:sz w:val="24"/>
                <w:szCs w:val="32"/>
              </w:rPr>
              <w:t>建设内容</w:t>
            </w:r>
          </w:p>
        </w:tc>
        <w:tc>
          <w:tcPr>
            <w:tcW w:w="20094" w:type="dxa"/>
          </w:tcPr>
          <w:p>
            <w:pPr>
              <w:widowControl/>
              <w:jc w:val="center"/>
              <w:rPr>
                <w:b/>
                <w:bCs/>
              </w:rPr>
            </w:pPr>
            <w:r>
              <w:rPr>
                <w:b/>
                <w:bCs/>
              </w:rPr>
              <w:t>表</w:t>
            </w:r>
            <w:r>
              <w:rPr>
                <w:rFonts w:hint="eastAsia"/>
                <w:b/>
                <w:bCs/>
              </w:rPr>
              <w:t>4</w:t>
            </w:r>
            <w:r>
              <w:rPr>
                <w:b/>
                <w:bCs/>
              </w:rPr>
              <w:t xml:space="preserve">  主要工程建设内容</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57"/>
              <w:gridCol w:w="747"/>
              <w:gridCol w:w="1346"/>
              <w:gridCol w:w="3080"/>
              <w:gridCol w:w="3043"/>
              <w:gridCol w:w="2591"/>
              <w:gridCol w:w="2757"/>
              <w:gridCol w:w="2676"/>
              <w:gridCol w:w="29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2750" w:type="dxa"/>
                  <w:gridSpan w:val="3"/>
                  <w:vAlign w:val="center"/>
                </w:tcPr>
                <w:p>
                  <w:pPr>
                    <w:widowControl/>
                    <w:jc w:val="center"/>
                  </w:pPr>
                  <w:r>
                    <w:t>工程类别</w:t>
                  </w:r>
                </w:p>
              </w:tc>
              <w:tc>
                <w:tcPr>
                  <w:tcW w:w="3080" w:type="dxa"/>
                  <w:vAlign w:val="center"/>
                </w:tcPr>
                <w:p>
                  <w:pPr>
                    <w:widowControl/>
                    <w:jc w:val="center"/>
                  </w:pPr>
                  <w:r>
                    <w:t>现有工程情况（500t/a）</w:t>
                  </w:r>
                </w:p>
              </w:tc>
              <w:tc>
                <w:tcPr>
                  <w:tcW w:w="3043" w:type="dxa"/>
                  <w:vAlign w:val="center"/>
                </w:tcPr>
                <w:p>
                  <w:pPr>
                    <w:widowControl/>
                    <w:jc w:val="center"/>
                  </w:pPr>
                  <w:r>
                    <w:t>一期工程（1000t/a）</w:t>
                  </w:r>
                </w:p>
              </w:tc>
              <w:tc>
                <w:tcPr>
                  <w:tcW w:w="2591" w:type="dxa"/>
                  <w:vAlign w:val="center"/>
                </w:tcPr>
                <w:p>
                  <w:pPr>
                    <w:widowControl/>
                    <w:jc w:val="center"/>
                  </w:pPr>
                  <w:r>
                    <w:t>与现有工程衔接情况</w:t>
                  </w:r>
                </w:p>
              </w:tc>
              <w:tc>
                <w:tcPr>
                  <w:tcW w:w="2757" w:type="dxa"/>
                  <w:vAlign w:val="center"/>
                </w:tcPr>
                <w:p>
                  <w:pPr>
                    <w:widowControl/>
                    <w:jc w:val="center"/>
                  </w:pPr>
                  <w:r>
                    <w:t>二期工程（2000t/a）</w:t>
                  </w:r>
                </w:p>
              </w:tc>
              <w:tc>
                <w:tcPr>
                  <w:tcW w:w="2676" w:type="dxa"/>
                  <w:vAlign w:val="center"/>
                </w:tcPr>
                <w:p>
                  <w:pPr>
                    <w:widowControl/>
                    <w:jc w:val="center"/>
                  </w:pPr>
                  <w:r>
                    <w:t>与一期工程衔接情况</w:t>
                  </w:r>
                </w:p>
              </w:tc>
              <w:tc>
                <w:tcPr>
                  <w:tcW w:w="2951" w:type="dxa"/>
                  <w:vAlign w:val="center"/>
                </w:tcPr>
                <w:p>
                  <w:pPr>
                    <w:widowControl/>
                    <w:jc w:val="center"/>
                  </w:pPr>
                  <w:r>
                    <w:t>项目建设完成（3000t/a）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restart"/>
                  <w:vAlign w:val="center"/>
                </w:tcPr>
                <w:p>
                  <w:pPr>
                    <w:widowControl/>
                    <w:jc w:val="center"/>
                  </w:pPr>
                  <w:r>
                    <w:t>主体工程</w:t>
                  </w:r>
                </w:p>
              </w:tc>
              <w:tc>
                <w:tcPr>
                  <w:tcW w:w="2093" w:type="dxa"/>
                  <w:gridSpan w:val="2"/>
                  <w:vAlign w:val="center"/>
                </w:tcPr>
                <w:p>
                  <w:pPr>
                    <w:widowControl/>
                    <w:jc w:val="center"/>
                  </w:pPr>
                  <w:r>
                    <w:t>下料、机加工车间</w:t>
                  </w:r>
                </w:p>
              </w:tc>
              <w:tc>
                <w:tcPr>
                  <w:tcW w:w="3080" w:type="dxa"/>
                  <w:vAlign w:val="center"/>
                </w:tcPr>
                <w:p>
                  <w:pPr>
                    <w:widowControl/>
                    <w:jc w:val="center"/>
                  </w:pPr>
                  <w:r>
                    <w:rPr>
                      <w:bCs/>
                      <w:szCs w:val="21"/>
                    </w:rPr>
                    <w:t>占地面积675m</w:t>
                  </w:r>
                  <w:r>
                    <w:rPr>
                      <w:bCs/>
                      <w:szCs w:val="21"/>
                      <w:vertAlign w:val="superscript"/>
                    </w:rPr>
                    <w:t>2</w:t>
                  </w:r>
                  <w:r>
                    <w:rPr>
                      <w:bCs/>
                      <w:szCs w:val="21"/>
                    </w:rPr>
                    <w:t>，长×宽×高=45×15×6m，砖混结构，内有3台锯床、6台车床、2台钻床</w:t>
                  </w:r>
                </w:p>
              </w:tc>
              <w:tc>
                <w:tcPr>
                  <w:tcW w:w="3043" w:type="dxa"/>
                  <w:vAlign w:val="center"/>
                </w:tcPr>
                <w:p>
                  <w:pPr>
                    <w:widowControl/>
                    <w:jc w:val="center"/>
                    <w:rPr>
                      <w:bCs/>
                      <w:szCs w:val="21"/>
                    </w:rPr>
                  </w:pPr>
                  <w:r>
                    <w:rPr>
                      <w:bCs/>
                      <w:szCs w:val="21"/>
                    </w:rPr>
                    <w:t>占地面积675m</w:t>
                  </w:r>
                  <w:r>
                    <w:rPr>
                      <w:bCs/>
                      <w:szCs w:val="21"/>
                      <w:vertAlign w:val="superscript"/>
                    </w:rPr>
                    <w:t>2</w:t>
                  </w:r>
                  <w:r>
                    <w:rPr>
                      <w:bCs/>
                      <w:szCs w:val="21"/>
                    </w:rPr>
                    <w:t>，长×宽×高=45×15×6m，砖混结构，内有3台锯床、6台车床、2台钻床</w:t>
                  </w:r>
                </w:p>
              </w:tc>
              <w:tc>
                <w:tcPr>
                  <w:tcW w:w="2591" w:type="dxa"/>
                  <w:vAlign w:val="center"/>
                </w:tcPr>
                <w:p>
                  <w:pPr>
                    <w:widowControl/>
                    <w:jc w:val="center"/>
                  </w:pPr>
                  <w:r>
                    <w:t>利旧</w:t>
                  </w:r>
                </w:p>
              </w:tc>
              <w:tc>
                <w:tcPr>
                  <w:tcW w:w="2757" w:type="dxa"/>
                  <w:vAlign w:val="center"/>
                </w:tcPr>
                <w:p>
                  <w:pPr>
                    <w:widowControl/>
                    <w:jc w:val="center"/>
                  </w:pPr>
                  <w:r>
                    <w:t>新增3台数控钻床</w:t>
                  </w:r>
                </w:p>
              </w:tc>
              <w:tc>
                <w:tcPr>
                  <w:tcW w:w="2676" w:type="dxa"/>
                  <w:vAlign w:val="center"/>
                </w:tcPr>
                <w:p>
                  <w:pPr>
                    <w:widowControl/>
                    <w:jc w:val="center"/>
                  </w:pPr>
                  <w:r>
                    <w:t>新增设备</w:t>
                  </w:r>
                </w:p>
              </w:tc>
              <w:tc>
                <w:tcPr>
                  <w:tcW w:w="2951" w:type="dxa"/>
                  <w:vAlign w:val="center"/>
                </w:tcPr>
                <w:p>
                  <w:pPr>
                    <w:widowControl/>
                    <w:jc w:val="center"/>
                  </w:pPr>
                  <w:r>
                    <w:t>占地面积675m</w:t>
                  </w:r>
                  <w:r>
                    <w:rPr>
                      <w:vertAlign w:val="superscript"/>
                    </w:rPr>
                    <w:t>2</w:t>
                  </w:r>
                  <w:r>
                    <w:t>，</w:t>
                  </w:r>
                  <w:r>
                    <w:rPr>
                      <w:bCs/>
                      <w:szCs w:val="21"/>
                    </w:rPr>
                    <w:t>长×宽×高=45×15×6m，砖混结构，</w:t>
                  </w:r>
                  <w:r>
                    <w:rPr>
                      <w:rFonts w:hint="eastAsia"/>
                      <w:bCs/>
                      <w:szCs w:val="21"/>
                    </w:rPr>
                    <w:t>6</w:t>
                  </w:r>
                  <w:r>
                    <w:rPr>
                      <w:bCs/>
                      <w:szCs w:val="21"/>
                    </w:rPr>
                    <w:t>台车床、5台钻床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包装车间、成品库</w:t>
                  </w:r>
                </w:p>
              </w:tc>
              <w:tc>
                <w:tcPr>
                  <w:tcW w:w="3080" w:type="dxa"/>
                  <w:vAlign w:val="center"/>
                </w:tcPr>
                <w:p>
                  <w:pPr>
                    <w:widowControl/>
                    <w:jc w:val="center"/>
                  </w:pPr>
                  <w:r>
                    <w:rPr>
                      <w:bCs/>
                      <w:szCs w:val="21"/>
                    </w:rPr>
                    <w:t>占地面积600m</w:t>
                  </w:r>
                  <w:r>
                    <w:rPr>
                      <w:bCs/>
                      <w:szCs w:val="21"/>
                      <w:vertAlign w:val="superscript"/>
                    </w:rPr>
                    <w:t>2</w:t>
                  </w:r>
                  <w:r>
                    <w:rPr>
                      <w:bCs/>
                      <w:szCs w:val="21"/>
                    </w:rPr>
                    <w:t>，长×宽×高=30×20×8m，1套包装设备</w:t>
                  </w:r>
                </w:p>
              </w:tc>
              <w:tc>
                <w:tcPr>
                  <w:tcW w:w="3043" w:type="dxa"/>
                  <w:vAlign w:val="center"/>
                </w:tcPr>
                <w:p>
                  <w:pPr>
                    <w:widowControl/>
                    <w:jc w:val="center"/>
                  </w:pPr>
                  <w:r>
                    <w:rPr>
                      <w:bCs/>
                      <w:szCs w:val="21"/>
                    </w:rPr>
                    <w:t>占地面积600m</w:t>
                  </w:r>
                  <w:r>
                    <w:rPr>
                      <w:bCs/>
                      <w:szCs w:val="21"/>
                      <w:vertAlign w:val="superscript"/>
                    </w:rPr>
                    <w:t>2</w:t>
                  </w:r>
                  <w:r>
                    <w:rPr>
                      <w:bCs/>
                      <w:szCs w:val="21"/>
                    </w:rPr>
                    <w:t>，长×宽×高=30×20×8m，1套包装设备</w:t>
                  </w:r>
                </w:p>
              </w:tc>
              <w:tc>
                <w:tcPr>
                  <w:tcW w:w="2591" w:type="dxa"/>
                  <w:vAlign w:val="center"/>
                </w:tcPr>
                <w:p>
                  <w:pPr>
                    <w:widowControl/>
                    <w:jc w:val="center"/>
                  </w:pPr>
                  <w:r>
                    <w:t>利旧</w:t>
                  </w:r>
                </w:p>
              </w:tc>
              <w:tc>
                <w:tcPr>
                  <w:tcW w:w="2757" w:type="dxa"/>
                  <w:vAlign w:val="center"/>
                </w:tcPr>
                <w:p>
                  <w:pPr>
                    <w:widowControl/>
                    <w:jc w:val="center"/>
                  </w:pPr>
                  <w:r>
                    <w:rPr>
                      <w:bCs/>
                      <w:szCs w:val="21"/>
                    </w:rPr>
                    <w:t>/</w:t>
                  </w:r>
                </w:p>
              </w:tc>
              <w:tc>
                <w:tcPr>
                  <w:tcW w:w="2676" w:type="dxa"/>
                  <w:vAlign w:val="center"/>
                </w:tcPr>
                <w:p>
                  <w:pPr>
                    <w:widowControl/>
                    <w:jc w:val="center"/>
                  </w:pPr>
                  <w:r>
                    <w:t>利旧</w:t>
                  </w:r>
                </w:p>
              </w:tc>
              <w:tc>
                <w:tcPr>
                  <w:tcW w:w="2951" w:type="dxa"/>
                  <w:vAlign w:val="center"/>
                </w:tcPr>
                <w:p>
                  <w:pPr>
                    <w:widowControl/>
                    <w:jc w:val="center"/>
                  </w:pPr>
                  <w:r>
                    <w:rPr>
                      <w:bCs/>
                      <w:szCs w:val="21"/>
                    </w:rPr>
                    <w:t>占地面积600m</w:t>
                  </w:r>
                  <w:r>
                    <w:rPr>
                      <w:bCs/>
                      <w:szCs w:val="21"/>
                      <w:vertAlign w:val="superscript"/>
                    </w:rPr>
                    <w:t>2</w:t>
                  </w:r>
                  <w:r>
                    <w:rPr>
                      <w:bCs/>
                      <w:szCs w:val="21"/>
                    </w:rPr>
                    <w:t>，长×宽×高=30×20×8m，1套包装设备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碾环车间</w:t>
                  </w:r>
                </w:p>
              </w:tc>
              <w:tc>
                <w:tcPr>
                  <w:tcW w:w="3080" w:type="dxa"/>
                  <w:vAlign w:val="center"/>
                </w:tcPr>
                <w:p>
                  <w:pPr>
                    <w:widowControl/>
                    <w:jc w:val="center"/>
                  </w:pPr>
                  <w:r>
                    <w:t>碾环机1台，露天放置</w:t>
                  </w:r>
                </w:p>
              </w:tc>
              <w:tc>
                <w:tcPr>
                  <w:tcW w:w="3043" w:type="dxa"/>
                  <w:vAlign w:val="center"/>
                </w:tcPr>
                <w:p>
                  <w:pPr>
                    <w:widowControl/>
                    <w:jc w:val="center"/>
                  </w:pPr>
                  <w:r>
                    <w:t>放置于锻造区域</w:t>
                  </w:r>
                </w:p>
              </w:tc>
              <w:tc>
                <w:tcPr>
                  <w:tcW w:w="2591" w:type="dxa"/>
                  <w:vAlign w:val="center"/>
                </w:tcPr>
                <w:p>
                  <w:pPr>
                    <w:widowControl/>
                    <w:jc w:val="center"/>
                  </w:pPr>
                  <w:r>
                    <w:t>利旧设备</w:t>
                  </w:r>
                </w:p>
              </w:tc>
              <w:tc>
                <w:tcPr>
                  <w:tcW w:w="2757" w:type="dxa"/>
                  <w:vAlign w:val="center"/>
                </w:tcPr>
                <w:p>
                  <w:pPr>
                    <w:widowControl/>
                    <w:jc w:val="center"/>
                  </w:pPr>
                  <w:r>
                    <w:t>新建200m</w:t>
                  </w:r>
                  <w:r>
                    <w:rPr>
                      <w:vertAlign w:val="superscript"/>
                    </w:rPr>
                    <w:t>2</w:t>
                  </w:r>
                  <w:r>
                    <w:t>碾环车间</w:t>
                  </w:r>
                  <w:r>
                    <w:rPr>
                      <w:rFonts w:hint="eastAsia"/>
                    </w:rPr>
                    <w:t>，</w:t>
                  </w:r>
                  <w:r>
                    <w:t>新增卧式碾环机1台</w:t>
                  </w:r>
                </w:p>
              </w:tc>
              <w:tc>
                <w:tcPr>
                  <w:tcW w:w="2676" w:type="dxa"/>
                  <w:vAlign w:val="center"/>
                </w:tcPr>
                <w:p>
                  <w:pPr>
                    <w:widowControl/>
                    <w:jc w:val="center"/>
                  </w:pPr>
                  <w:r>
                    <w:t>新增设备</w:t>
                  </w:r>
                </w:p>
              </w:tc>
              <w:tc>
                <w:tcPr>
                  <w:tcW w:w="2951" w:type="dxa"/>
                  <w:vAlign w:val="center"/>
                </w:tcPr>
                <w:p>
                  <w:pPr>
                    <w:widowControl/>
                    <w:jc w:val="center"/>
                  </w:pPr>
                  <w:r>
                    <w:t>200m</w:t>
                  </w:r>
                  <w:r>
                    <w:rPr>
                      <w:vertAlign w:val="superscript"/>
                    </w:rPr>
                    <w:t>2</w:t>
                  </w:r>
                  <w:r>
                    <w:t>碾环车间，碾环机2台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锻造区域</w:t>
                  </w:r>
                </w:p>
              </w:tc>
              <w:tc>
                <w:tcPr>
                  <w:tcW w:w="3080" w:type="dxa"/>
                  <w:vAlign w:val="center"/>
                </w:tcPr>
                <w:p>
                  <w:pPr>
                    <w:widowControl/>
                    <w:jc w:val="center"/>
                  </w:pPr>
                  <w:r>
                    <w:t>1台夹棒锤，1台燃煤加热炉</w:t>
                  </w:r>
                </w:p>
              </w:tc>
              <w:tc>
                <w:tcPr>
                  <w:tcW w:w="3043" w:type="dxa"/>
                  <w:vAlign w:val="center"/>
                </w:tcPr>
                <w:p>
                  <w:pPr>
                    <w:widowControl/>
                    <w:jc w:val="center"/>
                  </w:pPr>
                  <w:r>
                    <w:t>拆除燃煤加热炉，新建天然气加热炉（</w:t>
                  </w:r>
                  <w:r>
                    <w:rPr>
                      <w:bCs/>
                      <w:szCs w:val="21"/>
                    </w:rPr>
                    <w:t>2.3m×2.1m×1.3m</w:t>
                  </w:r>
                  <w:r>
                    <w:t>）一台，保留夹棒锤，新建覆盖工棚</w:t>
                  </w:r>
                </w:p>
              </w:tc>
              <w:tc>
                <w:tcPr>
                  <w:tcW w:w="2591" w:type="dxa"/>
                  <w:vAlign w:val="center"/>
                </w:tcPr>
                <w:p>
                  <w:pPr>
                    <w:widowControl/>
                    <w:jc w:val="center"/>
                  </w:pPr>
                  <w:r>
                    <w:t>企业于2015年停产至今，燃煤加热炉已于2015年拆除，新增天然气加热炉，保留夹棒锤，新建覆盖工棚</w:t>
                  </w:r>
                </w:p>
              </w:tc>
              <w:tc>
                <w:tcPr>
                  <w:tcW w:w="2757" w:type="dxa"/>
                  <w:vAlign w:val="center"/>
                </w:tcPr>
                <w:p>
                  <w:pPr>
                    <w:widowControl/>
                    <w:jc w:val="center"/>
                  </w:pPr>
                  <w:r>
                    <w:t>新建天然气加热炉（</w:t>
                  </w:r>
                  <w:r>
                    <w:rPr>
                      <w:bCs/>
                      <w:szCs w:val="21"/>
                    </w:rPr>
                    <w:t>2.3m×2.1m×1.3m</w:t>
                  </w:r>
                  <w:r>
                    <w:t>）一台，空气锤2部，操作机1台</w:t>
                  </w:r>
                </w:p>
              </w:tc>
              <w:tc>
                <w:tcPr>
                  <w:tcW w:w="2676" w:type="dxa"/>
                  <w:vAlign w:val="center"/>
                </w:tcPr>
                <w:p>
                  <w:pPr>
                    <w:widowControl/>
                    <w:jc w:val="center"/>
                  </w:pPr>
                  <w:r>
                    <w:t>新增设备</w:t>
                  </w:r>
                </w:p>
              </w:tc>
              <w:tc>
                <w:tcPr>
                  <w:tcW w:w="2951" w:type="dxa"/>
                  <w:vAlign w:val="center"/>
                </w:tcPr>
                <w:p>
                  <w:pPr>
                    <w:widowControl/>
                    <w:jc w:val="center"/>
                  </w:pPr>
                  <w:r>
                    <w:t>天然气加热炉（</w:t>
                  </w:r>
                  <w:r>
                    <w:rPr>
                      <w:bCs/>
                      <w:szCs w:val="21"/>
                    </w:rPr>
                    <w:t>2.3m×2.1m×1.3m</w:t>
                  </w:r>
                  <w:r>
                    <w:t>）2台，新建覆盖工棚，夹棒锤1台，空气锤2台，操作机1台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restart"/>
                  <w:vAlign w:val="center"/>
                </w:tcPr>
                <w:p>
                  <w:pPr>
                    <w:widowControl/>
                    <w:jc w:val="center"/>
                  </w:pPr>
                  <w:r>
                    <w:t>辅助工程</w:t>
                  </w:r>
                </w:p>
              </w:tc>
              <w:tc>
                <w:tcPr>
                  <w:tcW w:w="2093" w:type="dxa"/>
                  <w:gridSpan w:val="2"/>
                  <w:vAlign w:val="center"/>
                </w:tcPr>
                <w:p>
                  <w:pPr>
                    <w:widowControl/>
                    <w:jc w:val="center"/>
                  </w:pPr>
                  <w:r>
                    <w:t>办公生活区</w:t>
                  </w:r>
                </w:p>
              </w:tc>
              <w:tc>
                <w:tcPr>
                  <w:tcW w:w="3080" w:type="dxa"/>
                  <w:vAlign w:val="center"/>
                </w:tcPr>
                <w:p>
                  <w:pPr>
                    <w:widowControl/>
                    <w:jc w:val="center"/>
                  </w:pPr>
                  <w:r>
                    <w:t>占地面积400m</w:t>
                  </w:r>
                  <w:r>
                    <w:rPr>
                      <w:vertAlign w:val="superscript"/>
                    </w:rPr>
                    <w:t>2</w:t>
                  </w:r>
                  <w:r>
                    <w:t xml:space="preserve"> </w:t>
                  </w:r>
                </w:p>
              </w:tc>
              <w:tc>
                <w:tcPr>
                  <w:tcW w:w="3043" w:type="dxa"/>
                  <w:vAlign w:val="center"/>
                </w:tcPr>
                <w:p>
                  <w:pPr>
                    <w:widowControl/>
                    <w:jc w:val="center"/>
                  </w:pPr>
                  <w:r>
                    <w:t>占地面积400m</w:t>
                  </w:r>
                  <w:r>
                    <w:rPr>
                      <w:vertAlign w:val="superscript"/>
                    </w:rPr>
                    <w:t>2</w:t>
                  </w:r>
                </w:p>
              </w:tc>
              <w:tc>
                <w:tcPr>
                  <w:tcW w:w="2591" w:type="dxa"/>
                  <w:vAlign w:val="center"/>
                </w:tcPr>
                <w:p>
                  <w:pPr>
                    <w:widowControl/>
                    <w:jc w:val="center"/>
                  </w:pPr>
                  <w:r>
                    <w:t>利旧</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占地面积400m</w:t>
                  </w:r>
                  <w:r>
                    <w:rPr>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库房</w:t>
                  </w:r>
                </w:p>
              </w:tc>
              <w:tc>
                <w:tcPr>
                  <w:tcW w:w="3080" w:type="dxa"/>
                  <w:vAlign w:val="center"/>
                </w:tcPr>
                <w:p>
                  <w:pPr>
                    <w:widowControl/>
                    <w:jc w:val="center"/>
                  </w:pPr>
                  <w:r>
                    <w:rPr>
                      <w:bCs/>
                      <w:szCs w:val="21"/>
                    </w:rPr>
                    <w:t>占地面积100m</w:t>
                  </w:r>
                  <w:r>
                    <w:rPr>
                      <w:bCs/>
                      <w:szCs w:val="21"/>
                      <w:vertAlign w:val="superscript"/>
                    </w:rPr>
                    <w:t>2</w:t>
                  </w:r>
                  <w:r>
                    <w:rPr>
                      <w:bCs/>
                      <w:szCs w:val="21"/>
                    </w:rPr>
                    <w:t>，长×宽×高=10×10×3.5m</w:t>
                  </w:r>
                </w:p>
              </w:tc>
              <w:tc>
                <w:tcPr>
                  <w:tcW w:w="3043" w:type="dxa"/>
                  <w:vAlign w:val="center"/>
                </w:tcPr>
                <w:p>
                  <w:pPr>
                    <w:widowControl/>
                    <w:jc w:val="center"/>
                  </w:pPr>
                  <w:r>
                    <w:rPr>
                      <w:bCs/>
                      <w:szCs w:val="21"/>
                    </w:rPr>
                    <w:t>占地面积100m</w:t>
                  </w:r>
                  <w:r>
                    <w:rPr>
                      <w:bCs/>
                      <w:szCs w:val="21"/>
                      <w:vertAlign w:val="superscript"/>
                    </w:rPr>
                    <w:t>2</w:t>
                  </w:r>
                  <w:r>
                    <w:rPr>
                      <w:bCs/>
                      <w:szCs w:val="21"/>
                    </w:rPr>
                    <w:t>，长×宽×高=10×10×3.5m</w:t>
                  </w:r>
                </w:p>
              </w:tc>
              <w:tc>
                <w:tcPr>
                  <w:tcW w:w="2591" w:type="dxa"/>
                  <w:vAlign w:val="center"/>
                </w:tcPr>
                <w:p>
                  <w:pPr>
                    <w:widowControl/>
                    <w:jc w:val="center"/>
                  </w:pPr>
                  <w:r>
                    <w:t>利旧</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rPr>
                      <w:bCs/>
                      <w:szCs w:val="21"/>
                    </w:rPr>
                    <w:t>占地面积100m</w:t>
                  </w:r>
                  <w:r>
                    <w:rPr>
                      <w:bCs/>
                      <w:szCs w:val="21"/>
                      <w:vertAlign w:val="superscript"/>
                    </w:rPr>
                    <w:t>2</w:t>
                  </w:r>
                  <w:r>
                    <w:rPr>
                      <w:bCs/>
                      <w:szCs w:val="21"/>
                    </w:rPr>
                    <w:t>，长×宽×高=10×10×3.5m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天然气辅助设施</w:t>
                  </w:r>
                </w:p>
              </w:tc>
              <w:tc>
                <w:tcPr>
                  <w:tcW w:w="3080" w:type="dxa"/>
                  <w:vAlign w:val="center"/>
                </w:tcPr>
                <w:p>
                  <w:pPr>
                    <w:widowControl/>
                    <w:jc w:val="center"/>
                  </w:pPr>
                  <w:r>
                    <w:t>/</w:t>
                  </w:r>
                </w:p>
              </w:tc>
              <w:tc>
                <w:tcPr>
                  <w:tcW w:w="3043" w:type="dxa"/>
                  <w:vAlign w:val="center"/>
                </w:tcPr>
                <w:p>
                  <w:pPr>
                    <w:widowControl/>
                    <w:jc w:val="center"/>
                  </w:pPr>
                  <w:r>
                    <w:t>配套建设天然气调压柜1台及相管道等设施</w:t>
                  </w:r>
                </w:p>
              </w:tc>
              <w:tc>
                <w:tcPr>
                  <w:tcW w:w="2591" w:type="dxa"/>
                  <w:vAlign w:val="center"/>
                </w:tcPr>
                <w:p>
                  <w:pPr>
                    <w:widowControl/>
                    <w:jc w:val="center"/>
                  </w:pPr>
                  <w:r>
                    <w:t>新建</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天然气调压柜1台及相应配套设施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restart"/>
                  <w:vAlign w:val="center"/>
                </w:tcPr>
                <w:p>
                  <w:pPr>
                    <w:widowControl/>
                    <w:jc w:val="center"/>
                  </w:pPr>
                  <w:r>
                    <w:t>公用工程</w:t>
                  </w:r>
                </w:p>
              </w:tc>
              <w:tc>
                <w:tcPr>
                  <w:tcW w:w="2093" w:type="dxa"/>
                  <w:gridSpan w:val="2"/>
                  <w:vAlign w:val="center"/>
                </w:tcPr>
                <w:p>
                  <w:pPr>
                    <w:widowControl/>
                    <w:jc w:val="center"/>
                  </w:pPr>
                  <w:r>
                    <w:t>供水</w:t>
                  </w:r>
                </w:p>
              </w:tc>
              <w:tc>
                <w:tcPr>
                  <w:tcW w:w="3080" w:type="dxa"/>
                  <w:vAlign w:val="center"/>
                </w:tcPr>
                <w:p>
                  <w:pPr>
                    <w:widowControl/>
                    <w:jc w:val="center"/>
                  </w:pPr>
                  <w:r>
                    <w:t>留晖工业聚集区供水</w:t>
                  </w:r>
                </w:p>
              </w:tc>
              <w:tc>
                <w:tcPr>
                  <w:tcW w:w="3043" w:type="dxa"/>
                  <w:vAlign w:val="center"/>
                </w:tcPr>
                <w:p>
                  <w:pPr>
                    <w:widowControl/>
                    <w:jc w:val="center"/>
                  </w:pPr>
                  <w:r>
                    <w:t>留晖工业聚集区供水</w:t>
                  </w:r>
                </w:p>
              </w:tc>
              <w:tc>
                <w:tcPr>
                  <w:tcW w:w="2591" w:type="dxa"/>
                  <w:vAlign w:val="center"/>
                </w:tcPr>
                <w:p>
                  <w:pPr>
                    <w:widowControl/>
                    <w:jc w:val="center"/>
                  </w:pPr>
                  <w:r>
                    <w:t>利旧</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留晖工业聚集区供水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供电</w:t>
                  </w:r>
                </w:p>
              </w:tc>
              <w:tc>
                <w:tcPr>
                  <w:tcW w:w="3080" w:type="dxa"/>
                  <w:vAlign w:val="center"/>
                </w:tcPr>
                <w:p>
                  <w:pPr>
                    <w:widowControl/>
                    <w:jc w:val="center"/>
                  </w:pPr>
                  <w:r>
                    <w:rPr>
                      <w:bCs/>
                      <w:szCs w:val="21"/>
                    </w:rPr>
                    <w:t>引自留晖变电所，厂内配备80kVA变压器</w:t>
                  </w:r>
                </w:p>
              </w:tc>
              <w:tc>
                <w:tcPr>
                  <w:tcW w:w="3043" w:type="dxa"/>
                  <w:vAlign w:val="center"/>
                </w:tcPr>
                <w:p>
                  <w:pPr>
                    <w:widowControl/>
                    <w:jc w:val="center"/>
                  </w:pPr>
                  <w:r>
                    <w:rPr>
                      <w:bCs/>
                      <w:szCs w:val="21"/>
                    </w:rPr>
                    <w:t>引自留晖变电所，厂内配备80kVA变压器</w:t>
                  </w:r>
                </w:p>
              </w:tc>
              <w:tc>
                <w:tcPr>
                  <w:tcW w:w="2591" w:type="dxa"/>
                  <w:vAlign w:val="center"/>
                </w:tcPr>
                <w:p>
                  <w:pPr>
                    <w:widowControl/>
                    <w:jc w:val="center"/>
                  </w:pPr>
                  <w:r>
                    <w:t>利旧</w:t>
                  </w:r>
                </w:p>
              </w:tc>
              <w:tc>
                <w:tcPr>
                  <w:tcW w:w="2757" w:type="dxa"/>
                  <w:vAlign w:val="center"/>
                </w:tcPr>
                <w:p>
                  <w:pPr>
                    <w:widowControl/>
                    <w:jc w:val="center"/>
                  </w:pPr>
                  <w:r>
                    <w:t>80kVA变压器更换为315kVA变压器</w:t>
                  </w:r>
                </w:p>
              </w:tc>
              <w:tc>
                <w:tcPr>
                  <w:tcW w:w="2676" w:type="dxa"/>
                  <w:vAlign w:val="center"/>
                </w:tcPr>
                <w:p>
                  <w:pPr>
                    <w:widowControl/>
                    <w:jc w:val="center"/>
                  </w:pPr>
                  <w:r>
                    <w:t>更换设备</w:t>
                  </w:r>
                </w:p>
              </w:tc>
              <w:tc>
                <w:tcPr>
                  <w:tcW w:w="2951" w:type="dxa"/>
                  <w:vAlign w:val="center"/>
                </w:tcPr>
                <w:p>
                  <w:pPr>
                    <w:widowControl/>
                    <w:jc w:val="center"/>
                  </w:pPr>
                  <w:r>
                    <w:rPr>
                      <w:rFonts w:hint="eastAsia"/>
                    </w:rPr>
                    <w:t>315kVA变压器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供气</w:t>
                  </w:r>
                </w:p>
              </w:tc>
              <w:tc>
                <w:tcPr>
                  <w:tcW w:w="3080" w:type="dxa"/>
                  <w:vAlign w:val="center"/>
                </w:tcPr>
                <w:p>
                  <w:pPr>
                    <w:widowControl/>
                    <w:jc w:val="center"/>
                  </w:pPr>
                  <w:r>
                    <w:t>/</w:t>
                  </w:r>
                </w:p>
              </w:tc>
              <w:tc>
                <w:tcPr>
                  <w:tcW w:w="3043" w:type="dxa"/>
                  <w:vAlign w:val="center"/>
                </w:tcPr>
                <w:p>
                  <w:pPr>
                    <w:widowControl/>
                    <w:jc w:val="center"/>
                  </w:pPr>
                  <w:r>
                    <w:t>由山西国新定襄燃气有限公司接至厂内，配套建设1台天然气调压柜</w:t>
                  </w:r>
                </w:p>
              </w:tc>
              <w:tc>
                <w:tcPr>
                  <w:tcW w:w="2591" w:type="dxa"/>
                  <w:vAlign w:val="center"/>
                </w:tcPr>
                <w:p>
                  <w:pPr>
                    <w:widowControl/>
                    <w:jc w:val="center"/>
                  </w:pPr>
                  <w:r>
                    <w:t>新增设备</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由山西国新定襄燃气有限公司接至厂内，配套建设1台天然气调压柜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供暖</w:t>
                  </w:r>
                </w:p>
              </w:tc>
              <w:tc>
                <w:tcPr>
                  <w:tcW w:w="3080" w:type="dxa"/>
                  <w:vAlign w:val="center"/>
                </w:tcPr>
                <w:p>
                  <w:pPr>
                    <w:widowControl/>
                    <w:jc w:val="center"/>
                  </w:pPr>
                  <w:r>
                    <w:t>1台采暖锅炉</w:t>
                  </w:r>
                </w:p>
              </w:tc>
              <w:tc>
                <w:tcPr>
                  <w:tcW w:w="3043" w:type="dxa"/>
                  <w:vAlign w:val="center"/>
                </w:tcPr>
                <w:p>
                  <w:pPr>
                    <w:widowControl/>
                    <w:jc w:val="center"/>
                  </w:pPr>
                  <w:r>
                    <w:t>电采暖</w:t>
                  </w:r>
                </w:p>
              </w:tc>
              <w:tc>
                <w:tcPr>
                  <w:tcW w:w="2591" w:type="dxa"/>
                  <w:vAlign w:val="center"/>
                </w:tcPr>
                <w:p>
                  <w:pPr>
                    <w:widowControl/>
                    <w:jc w:val="center"/>
                  </w:pPr>
                  <w:r>
                    <w:t>企业于2015年停产至今，锅炉已于2015年拆除，采用电采暖</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电采暖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restart"/>
                  <w:vAlign w:val="center"/>
                </w:tcPr>
                <w:p>
                  <w:pPr>
                    <w:widowControl/>
                    <w:jc w:val="center"/>
                  </w:pPr>
                  <w:r>
                    <w:t>储运工程</w:t>
                  </w:r>
                </w:p>
              </w:tc>
              <w:tc>
                <w:tcPr>
                  <w:tcW w:w="2093" w:type="dxa"/>
                  <w:gridSpan w:val="2"/>
                  <w:vAlign w:val="center"/>
                </w:tcPr>
                <w:p>
                  <w:pPr>
                    <w:widowControl/>
                    <w:jc w:val="center"/>
                  </w:pPr>
                  <w:r>
                    <w:t>原料场地</w:t>
                  </w:r>
                </w:p>
              </w:tc>
              <w:tc>
                <w:tcPr>
                  <w:tcW w:w="3080" w:type="dxa"/>
                  <w:vAlign w:val="center"/>
                </w:tcPr>
                <w:p>
                  <w:pPr>
                    <w:widowControl/>
                    <w:jc w:val="center"/>
                  </w:pPr>
                  <w:r>
                    <w:t>露天原料堆场400m</w:t>
                  </w:r>
                  <w:r>
                    <w:rPr>
                      <w:vertAlign w:val="superscript"/>
                    </w:rPr>
                    <w:t>2</w:t>
                  </w:r>
                </w:p>
              </w:tc>
              <w:tc>
                <w:tcPr>
                  <w:tcW w:w="3043" w:type="dxa"/>
                  <w:vAlign w:val="center"/>
                </w:tcPr>
                <w:p>
                  <w:pPr>
                    <w:widowControl/>
                    <w:jc w:val="center"/>
                  </w:pPr>
                  <w:r>
                    <w:t>建设原料堆场工棚</w:t>
                  </w:r>
                </w:p>
              </w:tc>
              <w:tc>
                <w:tcPr>
                  <w:tcW w:w="2591" w:type="dxa"/>
                  <w:vAlign w:val="center"/>
                </w:tcPr>
                <w:p>
                  <w:pPr>
                    <w:widowControl/>
                    <w:jc w:val="center"/>
                  </w:pPr>
                  <w:r>
                    <w:t>建设原料堆场工棚</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建设</w:t>
                  </w:r>
                  <w:r>
                    <w:rPr>
                      <w:rFonts w:hint="eastAsia"/>
                    </w:rPr>
                    <w:t>原料</w:t>
                  </w:r>
                  <w:r>
                    <w:t>堆场工棚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成品存放</w:t>
                  </w:r>
                </w:p>
              </w:tc>
              <w:tc>
                <w:tcPr>
                  <w:tcW w:w="3080" w:type="dxa"/>
                  <w:vAlign w:val="center"/>
                </w:tcPr>
                <w:p>
                  <w:pPr>
                    <w:widowControl/>
                    <w:jc w:val="center"/>
                  </w:pPr>
                  <w:r>
                    <w:t>600m</w:t>
                  </w:r>
                  <w:r>
                    <w:rPr>
                      <w:vertAlign w:val="superscript"/>
                    </w:rPr>
                    <w:t>2</w:t>
                  </w:r>
                  <w:r>
                    <w:t>包装、成品车间</w:t>
                  </w:r>
                </w:p>
              </w:tc>
              <w:tc>
                <w:tcPr>
                  <w:tcW w:w="3043" w:type="dxa"/>
                  <w:vAlign w:val="center"/>
                </w:tcPr>
                <w:p>
                  <w:pPr>
                    <w:widowControl/>
                    <w:jc w:val="center"/>
                  </w:pPr>
                  <w:r>
                    <w:t>600m</w:t>
                  </w:r>
                  <w:r>
                    <w:rPr>
                      <w:vertAlign w:val="superscript"/>
                    </w:rPr>
                    <w:t>2</w:t>
                  </w:r>
                  <w:r>
                    <w:t>包装、成品车间</w:t>
                  </w:r>
                </w:p>
              </w:tc>
              <w:tc>
                <w:tcPr>
                  <w:tcW w:w="2591" w:type="dxa"/>
                  <w:vAlign w:val="center"/>
                </w:tcPr>
                <w:p>
                  <w:pPr>
                    <w:widowControl/>
                    <w:jc w:val="center"/>
                  </w:pPr>
                  <w:r>
                    <w:t>利旧</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600m</w:t>
                  </w:r>
                  <w:r>
                    <w:rPr>
                      <w:vertAlign w:val="superscript"/>
                    </w:rPr>
                    <w:t>2</w:t>
                  </w:r>
                  <w:r>
                    <w:t>包装、成品车间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一般固废暂存</w:t>
                  </w:r>
                </w:p>
              </w:tc>
              <w:tc>
                <w:tcPr>
                  <w:tcW w:w="3080" w:type="dxa"/>
                  <w:vAlign w:val="center"/>
                </w:tcPr>
                <w:p>
                  <w:pPr>
                    <w:widowControl/>
                    <w:jc w:val="center"/>
                  </w:pPr>
                  <w:r>
                    <w:t>30m</w:t>
                  </w:r>
                  <w:r>
                    <w:rPr>
                      <w:vertAlign w:val="superscript"/>
                    </w:rPr>
                    <w:t>2</w:t>
                  </w:r>
                  <w:r>
                    <w:t>露天一般固废堆存区域</w:t>
                  </w:r>
                </w:p>
              </w:tc>
              <w:tc>
                <w:tcPr>
                  <w:tcW w:w="3043" w:type="dxa"/>
                  <w:vAlign w:val="center"/>
                </w:tcPr>
                <w:p>
                  <w:pPr>
                    <w:widowControl/>
                    <w:jc w:val="center"/>
                  </w:pPr>
                  <w:r>
                    <w:t>30m</w:t>
                  </w:r>
                  <w:r>
                    <w:rPr>
                      <w:vertAlign w:val="superscript"/>
                    </w:rPr>
                    <w:t>2</w:t>
                  </w:r>
                  <w:r>
                    <w:t>固废暂存间</w:t>
                  </w:r>
                </w:p>
              </w:tc>
              <w:tc>
                <w:tcPr>
                  <w:tcW w:w="2591" w:type="dxa"/>
                  <w:vAlign w:val="center"/>
                </w:tcPr>
                <w:p>
                  <w:pPr>
                    <w:widowControl/>
                    <w:jc w:val="center"/>
                  </w:pPr>
                  <w:r>
                    <w:t>新建</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30m</w:t>
                  </w:r>
                  <w:r>
                    <w:rPr>
                      <w:vertAlign w:val="superscript"/>
                    </w:rPr>
                    <w:t>2</w:t>
                  </w:r>
                  <w:r>
                    <w:t>固废暂存间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危废暂存</w:t>
                  </w:r>
                </w:p>
              </w:tc>
              <w:tc>
                <w:tcPr>
                  <w:tcW w:w="3080" w:type="dxa"/>
                  <w:vAlign w:val="center"/>
                </w:tcPr>
                <w:p>
                  <w:pPr>
                    <w:widowControl/>
                    <w:jc w:val="center"/>
                  </w:pPr>
                  <w:r>
                    <w:t>与有资质单位签订危废处置协议，不在厂内暂存</w:t>
                  </w:r>
                </w:p>
              </w:tc>
              <w:tc>
                <w:tcPr>
                  <w:tcW w:w="3043" w:type="dxa"/>
                  <w:vAlign w:val="center"/>
                </w:tcPr>
                <w:p>
                  <w:pPr>
                    <w:widowControl/>
                    <w:jc w:val="center"/>
                  </w:pPr>
                  <w:r>
                    <w:t>新建10m</w:t>
                  </w:r>
                  <w:r>
                    <w:rPr>
                      <w:vertAlign w:val="superscript"/>
                    </w:rPr>
                    <w:t>2</w:t>
                  </w:r>
                  <w:r>
                    <w:t>危废暂存间</w:t>
                  </w:r>
                </w:p>
              </w:tc>
              <w:tc>
                <w:tcPr>
                  <w:tcW w:w="2591" w:type="dxa"/>
                  <w:vAlign w:val="center"/>
                </w:tcPr>
                <w:p>
                  <w:pPr>
                    <w:widowControl/>
                    <w:jc w:val="center"/>
                  </w:pPr>
                  <w:r>
                    <w:t>新建</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10m</w:t>
                  </w:r>
                  <w:r>
                    <w:rPr>
                      <w:vertAlign w:val="superscript"/>
                    </w:rPr>
                    <w:t>2</w:t>
                  </w:r>
                  <w:r>
                    <w:t>危废暂存间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restart"/>
                  <w:vAlign w:val="center"/>
                </w:tcPr>
                <w:p>
                  <w:pPr>
                    <w:widowControl/>
                    <w:jc w:val="center"/>
                  </w:pPr>
                  <w:r>
                    <w:t>环保工程</w:t>
                  </w:r>
                </w:p>
              </w:tc>
              <w:tc>
                <w:tcPr>
                  <w:tcW w:w="2093" w:type="dxa"/>
                  <w:gridSpan w:val="2"/>
                  <w:vAlign w:val="center"/>
                </w:tcPr>
                <w:p>
                  <w:pPr>
                    <w:widowControl/>
                    <w:jc w:val="center"/>
                  </w:pPr>
                  <w:r>
                    <w:t>废气</w:t>
                  </w:r>
                </w:p>
              </w:tc>
              <w:tc>
                <w:tcPr>
                  <w:tcW w:w="3080" w:type="dxa"/>
                  <w:vAlign w:val="center"/>
                </w:tcPr>
                <w:p>
                  <w:pPr>
                    <w:widowControl/>
                    <w:jc w:val="center"/>
                  </w:pPr>
                  <w:r>
                    <w:t>1套湿法脱硫除尘装置</w:t>
                  </w:r>
                </w:p>
              </w:tc>
              <w:tc>
                <w:tcPr>
                  <w:tcW w:w="3043" w:type="dxa"/>
                  <w:vAlign w:val="center"/>
                </w:tcPr>
                <w:p>
                  <w:pPr>
                    <w:widowControl/>
                    <w:jc w:val="center"/>
                  </w:pPr>
                  <w:r>
                    <w:t>新建1套SCR脱硝装置</w:t>
                  </w:r>
                </w:p>
              </w:tc>
              <w:tc>
                <w:tcPr>
                  <w:tcW w:w="2591" w:type="dxa"/>
                  <w:vAlign w:val="center"/>
                </w:tcPr>
                <w:p>
                  <w:pPr>
                    <w:widowControl/>
                    <w:jc w:val="center"/>
                  </w:pPr>
                  <w:r>
                    <w:t>企业于2015年停产至今，湿法脱硫除尘装置已于2015年拆除，新建1套</w:t>
                  </w:r>
                  <w:r>
                    <w:rPr>
                      <w:rFonts w:hint="eastAsia"/>
                    </w:rPr>
                    <w:t>SCR</w:t>
                  </w:r>
                  <w:r>
                    <w:t>脱</w:t>
                  </w:r>
                  <w:r>
                    <w:rPr>
                      <w:rFonts w:hint="eastAsia"/>
                    </w:rPr>
                    <w:t>硝</w:t>
                  </w:r>
                  <w:r>
                    <w:t>装置</w:t>
                  </w:r>
                </w:p>
              </w:tc>
              <w:tc>
                <w:tcPr>
                  <w:tcW w:w="2757" w:type="dxa"/>
                  <w:vAlign w:val="center"/>
                </w:tcPr>
                <w:p>
                  <w:pPr>
                    <w:widowControl/>
                    <w:jc w:val="center"/>
                  </w:pPr>
                  <w:r>
                    <w:t>新建1套SCR脱硝装置</w:t>
                  </w:r>
                </w:p>
              </w:tc>
              <w:tc>
                <w:tcPr>
                  <w:tcW w:w="2676" w:type="dxa"/>
                  <w:vAlign w:val="center"/>
                </w:tcPr>
                <w:p>
                  <w:pPr>
                    <w:widowControl/>
                    <w:jc w:val="center"/>
                  </w:pPr>
                  <w:r>
                    <w:t>新增</w:t>
                  </w:r>
                </w:p>
              </w:tc>
              <w:tc>
                <w:tcPr>
                  <w:tcW w:w="2951" w:type="dxa"/>
                  <w:vAlign w:val="center"/>
                </w:tcPr>
                <w:p>
                  <w:pPr>
                    <w:widowControl/>
                    <w:jc w:val="center"/>
                  </w:pPr>
                  <w:r>
                    <w:t>2套SCR脱硝装置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生活污水</w:t>
                  </w:r>
                </w:p>
              </w:tc>
              <w:tc>
                <w:tcPr>
                  <w:tcW w:w="3080" w:type="dxa"/>
                  <w:vAlign w:val="center"/>
                </w:tcPr>
                <w:p>
                  <w:pPr>
                    <w:widowControl/>
                    <w:jc w:val="center"/>
                  </w:pPr>
                  <w:r>
                    <w:t>生活污水用于厂区洒水抑尘</w:t>
                  </w:r>
                </w:p>
              </w:tc>
              <w:tc>
                <w:tcPr>
                  <w:tcW w:w="3043" w:type="dxa"/>
                  <w:vAlign w:val="center"/>
                </w:tcPr>
                <w:p>
                  <w:pPr>
                    <w:widowControl/>
                    <w:jc w:val="center"/>
                  </w:pPr>
                  <w:r>
                    <w:t>生活污水用于厂区洒水抑尘</w:t>
                  </w:r>
                </w:p>
              </w:tc>
              <w:tc>
                <w:tcPr>
                  <w:tcW w:w="2591" w:type="dxa"/>
                  <w:vAlign w:val="center"/>
                </w:tcPr>
                <w:p>
                  <w:pPr>
                    <w:widowControl/>
                    <w:jc w:val="center"/>
                  </w:pPr>
                  <w:r>
                    <w:t>/</w:t>
                  </w:r>
                </w:p>
              </w:tc>
              <w:tc>
                <w:tcPr>
                  <w:tcW w:w="2757" w:type="dxa"/>
                  <w:vAlign w:val="center"/>
                </w:tcPr>
                <w:p>
                  <w:pPr>
                    <w:widowControl/>
                    <w:jc w:val="center"/>
                  </w:pPr>
                  <w:r>
                    <w:t>生活污水用于厂区洒水抑尘</w:t>
                  </w:r>
                </w:p>
              </w:tc>
              <w:tc>
                <w:tcPr>
                  <w:tcW w:w="2676" w:type="dxa"/>
                  <w:vAlign w:val="center"/>
                </w:tcPr>
                <w:p>
                  <w:pPr>
                    <w:widowControl/>
                    <w:jc w:val="center"/>
                  </w:pPr>
                  <w:r>
                    <w:t>/</w:t>
                  </w:r>
                </w:p>
              </w:tc>
              <w:tc>
                <w:tcPr>
                  <w:tcW w:w="2951" w:type="dxa"/>
                  <w:vAlign w:val="center"/>
                </w:tcPr>
                <w:p>
                  <w:pPr>
                    <w:widowControl/>
                    <w:jc w:val="center"/>
                  </w:pPr>
                  <w:r>
                    <w:t>生活污水用于厂区洒水抑尘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2093" w:type="dxa"/>
                  <w:gridSpan w:val="2"/>
                  <w:vAlign w:val="center"/>
                </w:tcPr>
                <w:p>
                  <w:pPr>
                    <w:widowControl/>
                    <w:jc w:val="center"/>
                  </w:pPr>
                  <w:r>
                    <w:t>噪声</w:t>
                  </w:r>
                </w:p>
              </w:tc>
              <w:tc>
                <w:tcPr>
                  <w:tcW w:w="3080" w:type="dxa"/>
                  <w:vAlign w:val="center"/>
                </w:tcPr>
                <w:p>
                  <w:pPr>
                    <w:widowControl/>
                    <w:jc w:val="center"/>
                  </w:pPr>
                  <w:r>
                    <w:t>厂房隔声，基础减振</w:t>
                  </w:r>
                </w:p>
              </w:tc>
              <w:tc>
                <w:tcPr>
                  <w:tcW w:w="3043" w:type="dxa"/>
                  <w:vAlign w:val="center"/>
                </w:tcPr>
                <w:p>
                  <w:pPr>
                    <w:widowControl/>
                    <w:jc w:val="center"/>
                  </w:pPr>
                  <w:r>
                    <w:t>厂房隔声，基础减振</w:t>
                  </w:r>
                </w:p>
              </w:tc>
              <w:tc>
                <w:tcPr>
                  <w:tcW w:w="2591" w:type="dxa"/>
                  <w:vAlign w:val="center"/>
                </w:tcPr>
                <w:p>
                  <w:pPr>
                    <w:widowControl/>
                    <w:jc w:val="center"/>
                  </w:pPr>
                  <w:r>
                    <w:t>利旧</w:t>
                  </w:r>
                </w:p>
              </w:tc>
              <w:tc>
                <w:tcPr>
                  <w:tcW w:w="2757" w:type="dxa"/>
                  <w:vAlign w:val="center"/>
                </w:tcPr>
                <w:p>
                  <w:pPr>
                    <w:widowControl/>
                    <w:jc w:val="center"/>
                  </w:pPr>
                  <w:r>
                    <w:t>厂房隔声，基础减振</w:t>
                  </w:r>
                </w:p>
              </w:tc>
              <w:tc>
                <w:tcPr>
                  <w:tcW w:w="2676" w:type="dxa"/>
                  <w:vAlign w:val="center"/>
                </w:tcPr>
                <w:p>
                  <w:pPr>
                    <w:widowControl/>
                    <w:jc w:val="center"/>
                  </w:pPr>
                  <w:r>
                    <w:t>利旧</w:t>
                  </w:r>
                </w:p>
              </w:tc>
              <w:tc>
                <w:tcPr>
                  <w:tcW w:w="2951" w:type="dxa"/>
                  <w:vAlign w:val="center"/>
                </w:tcPr>
                <w:p>
                  <w:pPr>
                    <w:widowControl/>
                    <w:jc w:val="center"/>
                  </w:pPr>
                  <w:r>
                    <w:t>厂房隔声，基础减振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747" w:type="dxa"/>
                  <w:vMerge w:val="restart"/>
                  <w:vAlign w:val="center"/>
                </w:tcPr>
                <w:p>
                  <w:pPr>
                    <w:widowControl/>
                    <w:jc w:val="center"/>
                  </w:pPr>
                  <w:r>
                    <w:t>固废</w:t>
                  </w:r>
                </w:p>
              </w:tc>
              <w:tc>
                <w:tcPr>
                  <w:tcW w:w="1346" w:type="dxa"/>
                  <w:vAlign w:val="center"/>
                </w:tcPr>
                <w:p>
                  <w:pPr>
                    <w:widowControl/>
                    <w:jc w:val="center"/>
                  </w:pPr>
                  <w:r>
                    <w:t>生活垃圾</w:t>
                  </w:r>
                </w:p>
              </w:tc>
              <w:tc>
                <w:tcPr>
                  <w:tcW w:w="3080" w:type="dxa"/>
                  <w:vAlign w:val="center"/>
                </w:tcPr>
                <w:p>
                  <w:pPr>
                    <w:adjustRightInd w:val="0"/>
                    <w:snapToGrid w:val="0"/>
                    <w:jc w:val="center"/>
                    <w:rPr>
                      <w:bCs/>
                      <w:szCs w:val="21"/>
                    </w:rPr>
                  </w:pPr>
                  <w:r>
                    <w:rPr>
                      <w:bCs/>
                      <w:szCs w:val="21"/>
                    </w:rPr>
                    <w:t>厂内设垃圾桶，由环卫部门统一处置</w:t>
                  </w:r>
                </w:p>
              </w:tc>
              <w:tc>
                <w:tcPr>
                  <w:tcW w:w="3043" w:type="dxa"/>
                  <w:vAlign w:val="center"/>
                </w:tcPr>
                <w:p>
                  <w:pPr>
                    <w:widowControl/>
                    <w:jc w:val="center"/>
                  </w:pPr>
                  <w:r>
                    <w:rPr>
                      <w:bCs/>
                      <w:szCs w:val="21"/>
                    </w:rPr>
                    <w:t>厂内设垃圾桶，由环卫部门统一处置</w:t>
                  </w:r>
                </w:p>
              </w:tc>
              <w:tc>
                <w:tcPr>
                  <w:tcW w:w="2591" w:type="dxa"/>
                  <w:vAlign w:val="center"/>
                </w:tcPr>
                <w:p>
                  <w:pPr>
                    <w:widowControl/>
                    <w:jc w:val="center"/>
                  </w:pPr>
                  <w:r>
                    <w:t>利旧</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rPr>
                      <w:bCs/>
                      <w:szCs w:val="21"/>
                    </w:rPr>
                    <w:t>厂内设垃圾桶，由环卫部门统一处置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747" w:type="dxa"/>
                  <w:vMerge w:val="continue"/>
                  <w:vAlign w:val="center"/>
                </w:tcPr>
                <w:p>
                  <w:pPr>
                    <w:widowControl/>
                    <w:jc w:val="center"/>
                  </w:pPr>
                </w:p>
              </w:tc>
              <w:tc>
                <w:tcPr>
                  <w:tcW w:w="1346" w:type="dxa"/>
                  <w:vAlign w:val="center"/>
                </w:tcPr>
                <w:p>
                  <w:pPr>
                    <w:widowControl/>
                    <w:jc w:val="center"/>
                    <w:rPr>
                      <w:bCs/>
                      <w:szCs w:val="21"/>
                    </w:rPr>
                  </w:pPr>
                  <w:r>
                    <w:rPr>
                      <w:bCs/>
                      <w:szCs w:val="21"/>
                    </w:rPr>
                    <w:t>废铁屑</w:t>
                  </w:r>
                </w:p>
                <w:p>
                  <w:pPr>
                    <w:widowControl/>
                    <w:jc w:val="center"/>
                    <w:rPr>
                      <w:bCs/>
                      <w:szCs w:val="21"/>
                    </w:rPr>
                  </w:pPr>
                  <w:r>
                    <w:rPr>
                      <w:bCs/>
                      <w:szCs w:val="21"/>
                    </w:rPr>
                    <w:t>废边角料</w:t>
                  </w:r>
                </w:p>
                <w:p>
                  <w:pPr>
                    <w:widowControl/>
                    <w:jc w:val="center"/>
                  </w:pPr>
                  <w:r>
                    <w:rPr>
                      <w:bCs/>
                      <w:szCs w:val="21"/>
                    </w:rPr>
                    <w:t>氧化铁皮</w:t>
                  </w:r>
                </w:p>
              </w:tc>
              <w:tc>
                <w:tcPr>
                  <w:tcW w:w="3080" w:type="dxa"/>
                  <w:vAlign w:val="center"/>
                </w:tcPr>
                <w:p>
                  <w:pPr>
                    <w:adjustRightInd w:val="0"/>
                    <w:snapToGrid w:val="0"/>
                    <w:jc w:val="center"/>
                    <w:rPr>
                      <w:bCs/>
                      <w:szCs w:val="21"/>
                    </w:rPr>
                  </w:pPr>
                  <w:r>
                    <w:rPr>
                      <w:bCs/>
                      <w:szCs w:val="21"/>
                    </w:rPr>
                    <w:t>30m</w:t>
                  </w:r>
                  <w:r>
                    <w:rPr>
                      <w:bCs/>
                      <w:szCs w:val="21"/>
                      <w:vertAlign w:val="superscript"/>
                    </w:rPr>
                    <w:t>2</w:t>
                  </w:r>
                  <w:r>
                    <w:rPr>
                      <w:bCs/>
                      <w:szCs w:val="21"/>
                    </w:rPr>
                    <w:t>露天固废暂存区域，定期出售</w:t>
                  </w:r>
                </w:p>
              </w:tc>
              <w:tc>
                <w:tcPr>
                  <w:tcW w:w="3043" w:type="dxa"/>
                  <w:vAlign w:val="center"/>
                </w:tcPr>
                <w:p>
                  <w:pPr>
                    <w:widowControl/>
                    <w:jc w:val="center"/>
                  </w:pPr>
                  <w:r>
                    <w:t>30m</w:t>
                  </w:r>
                  <w:r>
                    <w:rPr>
                      <w:vertAlign w:val="superscript"/>
                    </w:rPr>
                    <w:t>2</w:t>
                  </w:r>
                  <w:r>
                    <w:t>固废暂存间，定期出售</w:t>
                  </w:r>
                </w:p>
              </w:tc>
              <w:tc>
                <w:tcPr>
                  <w:tcW w:w="2591" w:type="dxa"/>
                  <w:vAlign w:val="center"/>
                </w:tcPr>
                <w:p>
                  <w:pPr>
                    <w:widowControl/>
                    <w:jc w:val="center"/>
                  </w:pPr>
                  <w:r>
                    <w:t>新建30m</w:t>
                  </w:r>
                  <w:r>
                    <w:rPr>
                      <w:vertAlign w:val="superscript"/>
                    </w:rPr>
                    <w:t>2</w:t>
                  </w:r>
                  <w:r>
                    <w:t>固废暂存间</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30m</w:t>
                  </w:r>
                  <w:r>
                    <w:rPr>
                      <w:vertAlign w:val="superscript"/>
                    </w:rPr>
                    <w:t>2</w:t>
                  </w:r>
                  <w:r>
                    <w:t>固废暂存间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747" w:type="dxa"/>
                  <w:vMerge w:val="continue"/>
                  <w:vAlign w:val="center"/>
                </w:tcPr>
                <w:p>
                  <w:pPr>
                    <w:widowControl/>
                    <w:jc w:val="center"/>
                  </w:pPr>
                </w:p>
              </w:tc>
              <w:tc>
                <w:tcPr>
                  <w:tcW w:w="1346" w:type="dxa"/>
                  <w:vAlign w:val="center"/>
                </w:tcPr>
                <w:p>
                  <w:pPr>
                    <w:widowControl/>
                    <w:jc w:val="center"/>
                    <w:rPr>
                      <w:bCs/>
                      <w:szCs w:val="21"/>
                    </w:rPr>
                  </w:pPr>
                  <w:r>
                    <w:rPr>
                      <w:bCs/>
                      <w:szCs w:val="21"/>
                    </w:rPr>
                    <w:t>废塑料</w:t>
                  </w:r>
                </w:p>
                <w:p>
                  <w:pPr>
                    <w:widowControl/>
                    <w:jc w:val="center"/>
                  </w:pPr>
                  <w:r>
                    <w:rPr>
                      <w:bCs/>
                      <w:szCs w:val="21"/>
                    </w:rPr>
                    <w:t>废木板</w:t>
                  </w:r>
                </w:p>
              </w:tc>
              <w:tc>
                <w:tcPr>
                  <w:tcW w:w="3080" w:type="dxa"/>
                  <w:vAlign w:val="center"/>
                </w:tcPr>
                <w:p>
                  <w:pPr>
                    <w:adjustRightInd w:val="0"/>
                    <w:snapToGrid w:val="0"/>
                    <w:jc w:val="center"/>
                    <w:rPr>
                      <w:bCs/>
                      <w:szCs w:val="21"/>
                    </w:rPr>
                  </w:pPr>
                  <w:r>
                    <w:rPr>
                      <w:bCs/>
                      <w:szCs w:val="21"/>
                    </w:rPr>
                    <w:t>收集后综合利用</w:t>
                  </w:r>
                </w:p>
              </w:tc>
              <w:tc>
                <w:tcPr>
                  <w:tcW w:w="3043" w:type="dxa"/>
                  <w:vAlign w:val="center"/>
                </w:tcPr>
                <w:p>
                  <w:pPr>
                    <w:widowControl/>
                    <w:jc w:val="center"/>
                  </w:pPr>
                  <w:r>
                    <w:t>收集后综合利用</w:t>
                  </w:r>
                </w:p>
              </w:tc>
              <w:tc>
                <w:tcPr>
                  <w:tcW w:w="2591" w:type="dxa"/>
                  <w:vAlign w:val="center"/>
                </w:tcPr>
                <w:p>
                  <w:pPr>
                    <w:widowControl/>
                    <w:jc w:val="center"/>
                  </w:pPr>
                  <w:r>
                    <w:t>利旧</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rPr>
                      <w:bCs/>
                      <w:szCs w:val="21"/>
                    </w:rPr>
                    <w:t>收集后综合利用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1" w:hRule="atLeast"/>
              </w:trPr>
              <w:tc>
                <w:tcPr>
                  <w:tcW w:w="657" w:type="dxa"/>
                  <w:vMerge w:val="continue"/>
                  <w:vAlign w:val="center"/>
                </w:tcPr>
                <w:p>
                  <w:pPr>
                    <w:widowControl/>
                    <w:jc w:val="center"/>
                  </w:pPr>
                </w:p>
              </w:tc>
              <w:tc>
                <w:tcPr>
                  <w:tcW w:w="747" w:type="dxa"/>
                  <w:vMerge w:val="continue"/>
                  <w:vAlign w:val="center"/>
                </w:tcPr>
                <w:p>
                  <w:pPr>
                    <w:widowControl/>
                    <w:jc w:val="center"/>
                  </w:pPr>
                </w:p>
              </w:tc>
              <w:tc>
                <w:tcPr>
                  <w:tcW w:w="1346" w:type="dxa"/>
                  <w:vAlign w:val="center"/>
                </w:tcPr>
                <w:p>
                  <w:pPr>
                    <w:widowControl/>
                    <w:jc w:val="center"/>
                  </w:pPr>
                  <w:r>
                    <w:t>废机油</w:t>
                  </w:r>
                </w:p>
                <w:p>
                  <w:pPr>
                    <w:widowControl/>
                    <w:jc w:val="center"/>
                  </w:pPr>
                  <w:r>
                    <w:t>废乳化液</w:t>
                  </w:r>
                </w:p>
              </w:tc>
              <w:tc>
                <w:tcPr>
                  <w:tcW w:w="3080" w:type="dxa"/>
                  <w:vAlign w:val="center"/>
                </w:tcPr>
                <w:p>
                  <w:pPr>
                    <w:adjustRightInd w:val="0"/>
                    <w:snapToGrid w:val="0"/>
                    <w:jc w:val="center"/>
                    <w:rPr>
                      <w:bCs/>
                      <w:szCs w:val="21"/>
                    </w:rPr>
                  </w:pPr>
                  <w:r>
                    <w:rPr>
                      <w:bCs/>
                      <w:szCs w:val="21"/>
                    </w:rPr>
                    <w:t>交由有资质单位处理</w:t>
                  </w:r>
                </w:p>
              </w:tc>
              <w:tc>
                <w:tcPr>
                  <w:tcW w:w="3043" w:type="dxa"/>
                  <w:vAlign w:val="center"/>
                </w:tcPr>
                <w:p>
                  <w:pPr>
                    <w:widowControl/>
                    <w:jc w:val="center"/>
                  </w:pPr>
                  <w:r>
                    <w:t>新建10m</w:t>
                  </w:r>
                  <w:r>
                    <w:rPr>
                      <w:vertAlign w:val="superscript"/>
                    </w:rPr>
                    <w:t>2</w:t>
                  </w:r>
                  <w:r>
                    <w:t>危废暂存间，定期交由有单位处理</w:t>
                  </w:r>
                </w:p>
              </w:tc>
              <w:tc>
                <w:tcPr>
                  <w:tcW w:w="2591" w:type="dxa"/>
                  <w:vAlign w:val="center"/>
                </w:tcPr>
                <w:p>
                  <w:pPr>
                    <w:widowControl/>
                    <w:jc w:val="center"/>
                  </w:pPr>
                  <w:r>
                    <w:t>新建10m</w:t>
                  </w:r>
                  <w:r>
                    <w:rPr>
                      <w:vertAlign w:val="superscript"/>
                    </w:rPr>
                    <w:t>2</w:t>
                  </w:r>
                  <w:r>
                    <w:t>危废暂存间</w:t>
                  </w:r>
                </w:p>
              </w:tc>
              <w:tc>
                <w:tcPr>
                  <w:tcW w:w="2757" w:type="dxa"/>
                  <w:vAlign w:val="center"/>
                </w:tcPr>
                <w:p>
                  <w:pPr>
                    <w:widowControl/>
                    <w:jc w:val="center"/>
                  </w:pPr>
                  <w:r>
                    <w:t>/</w:t>
                  </w:r>
                </w:p>
              </w:tc>
              <w:tc>
                <w:tcPr>
                  <w:tcW w:w="2676" w:type="dxa"/>
                  <w:vAlign w:val="center"/>
                </w:tcPr>
                <w:p>
                  <w:pPr>
                    <w:widowControl/>
                    <w:jc w:val="center"/>
                  </w:pPr>
                  <w:r>
                    <w:t>利旧</w:t>
                  </w:r>
                </w:p>
              </w:tc>
              <w:tc>
                <w:tcPr>
                  <w:tcW w:w="2951" w:type="dxa"/>
                  <w:vAlign w:val="center"/>
                </w:tcPr>
                <w:p>
                  <w:pPr>
                    <w:widowControl/>
                    <w:jc w:val="center"/>
                  </w:pPr>
                  <w:r>
                    <w:t>10m</w:t>
                  </w:r>
                  <w:r>
                    <w:rPr>
                      <w:vertAlign w:val="superscript"/>
                    </w:rPr>
                    <w:t>2</w:t>
                  </w:r>
                  <w:r>
                    <w:t>危废暂存间</w:t>
                  </w:r>
                </w:p>
              </w:tc>
            </w:tr>
          </w:tbl>
          <w:p>
            <w:pPr>
              <w:widowControl/>
              <w:jc w:val="center"/>
              <w:rPr>
                <w:b/>
                <w:bCs/>
              </w:rPr>
            </w:pPr>
          </w:p>
        </w:tc>
      </w:tr>
    </w:tbl>
    <w:p>
      <w:pPr>
        <w:widowControl/>
        <w:jc w:val="left"/>
        <w:sectPr>
          <w:pgSz w:w="23814" w:h="16839" w:orient="landscape"/>
          <w:pgMar w:top="1531" w:right="1701" w:bottom="1531" w:left="1701" w:header="851" w:footer="1077" w:gutter="0"/>
          <w:cols w:space="720" w:num="1"/>
          <w:docGrid w:linePitch="312" w:charSpace="0"/>
        </w:sectPr>
      </w:pP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8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7" w:hRule="atLeast"/>
        </w:trPr>
        <w:tc>
          <w:tcPr>
            <w:tcW w:w="499" w:type="dxa"/>
            <w:vAlign w:val="center"/>
          </w:tcPr>
          <w:p>
            <w:pPr>
              <w:widowControl/>
              <w:jc w:val="center"/>
            </w:pPr>
            <w:r>
              <w:rPr>
                <w:sz w:val="24"/>
                <w:szCs w:val="32"/>
              </w:rPr>
              <w:t>建设内容</w:t>
            </w:r>
          </w:p>
        </w:tc>
        <w:tc>
          <w:tcPr>
            <w:tcW w:w="8540" w:type="dxa"/>
          </w:tcPr>
          <w:p>
            <w:pPr>
              <w:widowControl/>
              <w:jc w:val="center"/>
              <w:rPr>
                <w:b/>
                <w:bCs/>
              </w:rPr>
            </w:pPr>
            <w:r>
              <w:rPr>
                <w:b/>
                <w:bCs/>
              </w:rPr>
              <w:t>表</w:t>
            </w:r>
            <w:r>
              <w:rPr>
                <w:rFonts w:hint="eastAsia"/>
                <w:b/>
                <w:bCs/>
              </w:rPr>
              <w:t>5</w:t>
            </w:r>
            <w:r>
              <w:rPr>
                <w:b/>
                <w:bCs/>
              </w:rPr>
              <w:t xml:space="preserve">  主要设备表</w:t>
            </w:r>
          </w:p>
          <w:tbl>
            <w:tblPr>
              <w:tblStyle w:val="1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47"/>
              <w:gridCol w:w="850"/>
              <w:gridCol w:w="1955"/>
              <w:gridCol w:w="1161"/>
              <w:gridCol w:w="1283"/>
              <w:gridCol w:w="1357"/>
              <w:gridCol w:w="11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Merge w:val="restart"/>
                  <w:vAlign w:val="center"/>
                </w:tcPr>
                <w:p>
                  <w:pPr>
                    <w:widowControl/>
                    <w:jc w:val="center"/>
                  </w:pPr>
                  <w:r>
                    <w:t>序号</w:t>
                  </w:r>
                </w:p>
              </w:tc>
              <w:tc>
                <w:tcPr>
                  <w:tcW w:w="1134" w:type="dxa"/>
                  <w:vMerge w:val="restart"/>
                  <w:vAlign w:val="center"/>
                </w:tcPr>
                <w:p>
                  <w:pPr>
                    <w:widowControl/>
                    <w:jc w:val="center"/>
                  </w:pPr>
                  <w:r>
                    <w:t>名称</w:t>
                  </w:r>
                </w:p>
              </w:tc>
              <w:tc>
                <w:tcPr>
                  <w:tcW w:w="1373" w:type="dxa"/>
                  <w:vMerge w:val="restart"/>
                  <w:vAlign w:val="center"/>
                </w:tcPr>
                <w:p>
                  <w:pPr>
                    <w:widowControl/>
                    <w:jc w:val="center"/>
                  </w:pPr>
                  <w:r>
                    <w:t>规格型号</w:t>
                  </w:r>
                </w:p>
              </w:tc>
              <w:tc>
                <w:tcPr>
                  <w:tcW w:w="3872" w:type="dxa"/>
                  <w:gridSpan w:val="3"/>
                  <w:vAlign w:val="center"/>
                </w:tcPr>
                <w:p>
                  <w:pPr>
                    <w:widowControl/>
                    <w:jc w:val="center"/>
                  </w:pPr>
                  <w:r>
                    <w:t>设备数量</w:t>
                  </w:r>
                </w:p>
              </w:tc>
              <w:tc>
                <w:tcPr>
                  <w:tcW w:w="1326" w:type="dxa"/>
                  <w:vMerge w:val="restart"/>
                  <w:vAlign w:val="center"/>
                </w:tcPr>
                <w:p>
                  <w:pPr>
                    <w:widowControl/>
                    <w:jc w:val="center"/>
                  </w:pPr>
                  <w:r>
                    <w:t>合计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Merge w:val="continue"/>
                  <w:vAlign w:val="center"/>
                </w:tcPr>
                <w:p>
                  <w:pPr>
                    <w:widowControl/>
                    <w:jc w:val="center"/>
                  </w:pPr>
                </w:p>
              </w:tc>
              <w:tc>
                <w:tcPr>
                  <w:tcW w:w="1134" w:type="dxa"/>
                  <w:vMerge w:val="continue"/>
                  <w:vAlign w:val="center"/>
                </w:tcPr>
                <w:p>
                  <w:pPr>
                    <w:widowControl/>
                    <w:jc w:val="center"/>
                  </w:pPr>
                </w:p>
              </w:tc>
              <w:tc>
                <w:tcPr>
                  <w:tcW w:w="1373" w:type="dxa"/>
                  <w:vMerge w:val="continue"/>
                  <w:vAlign w:val="center"/>
                </w:tcPr>
                <w:p>
                  <w:pPr>
                    <w:widowControl/>
                    <w:jc w:val="center"/>
                  </w:pPr>
                </w:p>
              </w:tc>
              <w:tc>
                <w:tcPr>
                  <w:tcW w:w="1161" w:type="dxa"/>
                  <w:vAlign w:val="center"/>
                </w:tcPr>
                <w:p>
                  <w:pPr>
                    <w:widowControl/>
                    <w:jc w:val="center"/>
                  </w:pPr>
                  <w:r>
                    <w:t>现有工程（500t/a）</w:t>
                  </w:r>
                </w:p>
              </w:tc>
              <w:tc>
                <w:tcPr>
                  <w:tcW w:w="1294" w:type="dxa"/>
                  <w:vAlign w:val="center"/>
                </w:tcPr>
                <w:p>
                  <w:pPr>
                    <w:widowControl/>
                    <w:jc w:val="center"/>
                  </w:pPr>
                  <w:r>
                    <w:t>一期工程（1000t/a）</w:t>
                  </w:r>
                </w:p>
              </w:tc>
              <w:tc>
                <w:tcPr>
                  <w:tcW w:w="1417" w:type="dxa"/>
                  <w:vAlign w:val="center"/>
                </w:tcPr>
                <w:p>
                  <w:pPr>
                    <w:widowControl/>
                    <w:jc w:val="center"/>
                  </w:pPr>
                  <w:r>
                    <w:t>二期工程（2000t/a）</w:t>
                  </w:r>
                </w:p>
              </w:tc>
              <w:tc>
                <w:tcPr>
                  <w:tcW w:w="1326" w:type="dxa"/>
                  <w:vMerge w:val="continue"/>
                  <w:vAlign w:val="center"/>
                </w:tcPr>
                <w:p>
                  <w:pPr>
                    <w:widowControl/>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1</w:t>
                  </w:r>
                </w:p>
              </w:tc>
              <w:tc>
                <w:tcPr>
                  <w:tcW w:w="1134" w:type="dxa"/>
                  <w:vAlign w:val="center"/>
                </w:tcPr>
                <w:p>
                  <w:pPr>
                    <w:widowControl/>
                    <w:jc w:val="center"/>
                  </w:pPr>
                  <w:r>
                    <w:t>锯床</w:t>
                  </w:r>
                </w:p>
              </w:tc>
              <w:tc>
                <w:tcPr>
                  <w:tcW w:w="1373" w:type="dxa"/>
                  <w:vAlign w:val="center"/>
                </w:tcPr>
                <w:p>
                  <w:pPr>
                    <w:widowControl/>
                    <w:jc w:val="center"/>
                  </w:pPr>
                  <w:r>
                    <w:t>C3640</w:t>
                  </w:r>
                </w:p>
              </w:tc>
              <w:tc>
                <w:tcPr>
                  <w:tcW w:w="1161" w:type="dxa"/>
                  <w:vAlign w:val="center"/>
                </w:tcPr>
                <w:p>
                  <w:pPr>
                    <w:widowControl/>
                    <w:jc w:val="center"/>
                  </w:pPr>
                  <w:r>
                    <w:t>3台</w:t>
                  </w:r>
                </w:p>
              </w:tc>
              <w:tc>
                <w:tcPr>
                  <w:tcW w:w="1294" w:type="dxa"/>
                  <w:vAlign w:val="center"/>
                </w:tcPr>
                <w:p>
                  <w:pPr>
                    <w:widowControl/>
                    <w:jc w:val="center"/>
                  </w:pPr>
                  <w:r>
                    <w:t>利旧3台</w:t>
                  </w:r>
                </w:p>
              </w:tc>
              <w:tc>
                <w:tcPr>
                  <w:tcW w:w="1417" w:type="dxa"/>
                  <w:vAlign w:val="center"/>
                </w:tcPr>
                <w:p>
                  <w:pPr>
                    <w:widowControl/>
                    <w:jc w:val="center"/>
                  </w:pPr>
                </w:p>
              </w:tc>
              <w:tc>
                <w:tcPr>
                  <w:tcW w:w="1326" w:type="dxa"/>
                  <w:vAlign w:val="center"/>
                </w:tcPr>
                <w:p>
                  <w:pPr>
                    <w:widowControl/>
                    <w:jc w:val="center"/>
                  </w:pPr>
                  <w:r>
                    <w:rPr>
                      <w:rFonts w:hint="eastAsia"/>
                    </w:rPr>
                    <w:t>3</w:t>
                  </w:r>
                  <w:r>
                    <w:t>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2</w:t>
                  </w:r>
                </w:p>
              </w:tc>
              <w:tc>
                <w:tcPr>
                  <w:tcW w:w="1134" w:type="dxa"/>
                  <w:vAlign w:val="center"/>
                </w:tcPr>
                <w:p>
                  <w:pPr>
                    <w:widowControl/>
                    <w:jc w:val="center"/>
                  </w:pPr>
                  <w:r>
                    <w:t>车床</w:t>
                  </w:r>
                </w:p>
              </w:tc>
              <w:tc>
                <w:tcPr>
                  <w:tcW w:w="1373" w:type="dxa"/>
                  <w:vAlign w:val="center"/>
                </w:tcPr>
                <w:p>
                  <w:pPr>
                    <w:widowControl/>
                    <w:jc w:val="center"/>
                  </w:pPr>
                  <w:r>
                    <w:t>6150/C630</w:t>
                  </w:r>
                </w:p>
              </w:tc>
              <w:tc>
                <w:tcPr>
                  <w:tcW w:w="1161" w:type="dxa"/>
                  <w:vAlign w:val="center"/>
                </w:tcPr>
                <w:p>
                  <w:pPr>
                    <w:widowControl/>
                    <w:jc w:val="center"/>
                  </w:pPr>
                  <w:r>
                    <w:t>6台</w:t>
                  </w:r>
                </w:p>
              </w:tc>
              <w:tc>
                <w:tcPr>
                  <w:tcW w:w="1294" w:type="dxa"/>
                  <w:vAlign w:val="center"/>
                </w:tcPr>
                <w:p>
                  <w:pPr>
                    <w:widowControl/>
                    <w:jc w:val="center"/>
                  </w:pPr>
                  <w:r>
                    <w:t>利旧6台</w:t>
                  </w:r>
                </w:p>
              </w:tc>
              <w:tc>
                <w:tcPr>
                  <w:tcW w:w="1417" w:type="dxa"/>
                  <w:vAlign w:val="center"/>
                </w:tcPr>
                <w:p>
                  <w:pPr>
                    <w:widowControl/>
                    <w:jc w:val="center"/>
                  </w:pPr>
                </w:p>
              </w:tc>
              <w:tc>
                <w:tcPr>
                  <w:tcW w:w="1326" w:type="dxa"/>
                  <w:vAlign w:val="center"/>
                </w:tcPr>
                <w:p>
                  <w:pPr>
                    <w:widowControl/>
                    <w:jc w:val="center"/>
                  </w:pPr>
                  <w:r>
                    <w:rPr>
                      <w:rFonts w:hint="eastAsia"/>
                    </w:rPr>
                    <w:t>6</w:t>
                  </w:r>
                  <w:r>
                    <w:t>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3</w:t>
                  </w:r>
                </w:p>
              </w:tc>
              <w:tc>
                <w:tcPr>
                  <w:tcW w:w="1134" w:type="dxa"/>
                  <w:vAlign w:val="center"/>
                </w:tcPr>
                <w:p>
                  <w:pPr>
                    <w:widowControl/>
                    <w:jc w:val="center"/>
                  </w:pPr>
                  <w:r>
                    <w:t>钻床</w:t>
                  </w:r>
                </w:p>
              </w:tc>
              <w:tc>
                <w:tcPr>
                  <w:tcW w:w="1373" w:type="dxa"/>
                  <w:vAlign w:val="center"/>
                </w:tcPr>
                <w:p>
                  <w:pPr>
                    <w:widowControl/>
                    <w:jc w:val="center"/>
                  </w:pPr>
                  <w:r>
                    <w:rPr>
                      <w:bCs/>
                      <w:szCs w:val="21"/>
                    </w:rPr>
                    <w:t>Z35/SFLZ-1000</w:t>
                  </w:r>
                </w:p>
              </w:tc>
              <w:tc>
                <w:tcPr>
                  <w:tcW w:w="1161" w:type="dxa"/>
                  <w:vAlign w:val="center"/>
                </w:tcPr>
                <w:p>
                  <w:pPr>
                    <w:widowControl/>
                    <w:jc w:val="center"/>
                  </w:pPr>
                  <w:r>
                    <w:t>2台</w:t>
                  </w:r>
                </w:p>
              </w:tc>
              <w:tc>
                <w:tcPr>
                  <w:tcW w:w="1294" w:type="dxa"/>
                  <w:vAlign w:val="center"/>
                </w:tcPr>
                <w:p>
                  <w:pPr>
                    <w:widowControl/>
                    <w:jc w:val="center"/>
                  </w:pPr>
                  <w:r>
                    <w:t>利旧2台</w:t>
                  </w:r>
                </w:p>
              </w:tc>
              <w:tc>
                <w:tcPr>
                  <w:tcW w:w="1417" w:type="dxa"/>
                  <w:vAlign w:val="center"/>
                </w:tcPr>
                <w:p>
                  <w:pPr>
                    <w:widowControl/>
                    <w:jc w:val="center"/>
                  </w:pPr>
                  <w:r>
                    <w:t>新增3台</w:t>
                  </w:r>
                </w:p>
              </w:tc>
              <w:tc>
                <w:tcPr>
                  <w:tcW w:w="1326" w:type="dxa"/>
                  <w:vAlign w:val="center"/>
                </w:tcPr>
                <w:p>
                  <w:pPr>
                    <w:widowControl/>
                    <w:jc w:val="center"/>
                  </w:pPr>
                  <w:r>
                    <w:t>5台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4</w:t>
                  </w:r>
                </w:p>
              </w:tc>
              <w:tc>
                <w:tcPr>
                  <w:tcW w:w="1134" w:type="dxa"/>
                  <w:vAlign w:val="center"/>
                </w:tcPr>
                <w:p>
                  <w:pPr>
                    <w:widowControl/>
                    <w:jc w:val="center"/>
                  </w:pPr>
                  <w:r>
                    <w:t>行车</w:t>
                  </w:r>
                </w:p>
              </w:tc>
              <w:tc>
                <w:tcPr>
                  <w:tcW w:w="1373" w:type="dxa"/>
                  <w:vAlign w:val="center"/>
                </w:tcPr>
                <w:p>
                  <w:pPr>
                    <w:widowControl/>
                    <w:jc w:val="center"/>
                  </w:pPr>
                  <w:r>
                    <w:rPr>
                      <w:bCs/>
                      <w:szCs w:val="21"/>
                    </w:rPr>
                    <w:t>3t/5t</w:t>
                  </w:r>
                </w:p>
              </w:tc>
              <w:tc>
                <w:tcPr>
                  <w:tcW w:w="1161" w:type="dxa"/>
                  <w:vAlign w:val="center"/>
                </w:tcPr>
                <w:p>
                  <w:pPr>
                    <w:widowControl/>
                    <w:jc w:val="center"/>
                  </w:pPr>
                  <w:r>
                    <w:t>1台</w:t>
                  </w:r>
                </w:p>
              </w:tc>
              <w:tc>
                <w:tcPr>
                  <w:tcW w:w="1294" w:type="dxa"/>
                  <w:vAlign w:val="center"/>
                </w:tcPr>
                <w:p>
                  <w:pPr>
                    <w:widowControl/>
                    <w:jc w:val="center"/>
                  </w:pPr>
                  <w:r>
                    <w:t>新增1台</w:t>
                  </w:r>
                </w:p>
              </w:tc>
              <w:tc>
                <w:tcPr>
                  <w:tcW w:w="1417" w:type="dxa"/>
                  <w:vAlign w:val="center"/>
                </w:tcPr>
                <w:p>
                  <w:pPr>
                    <w:widowControl/>
                    <w:jc w:val="center"/>
                  </w:pPr>
                  <w:r>
                    <w:t>/</w:t>
                  </w:r>
                </w:p>
              </w:tc>
              <w:tc>
                <w:tcPr>
                  <w:tcW w:w="1326" w:type="dxa"/>
                  <w:vAlign w:val="center"/>
                </w:tcPr>
                <w:p>
                  <w:pPr>
                    <w:widowControl/>
                    <w:jc w:val="center"/>
                  </w:pPr>
                  <w:r>
                    <w:t>2台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5</w:t>
                  </w:r>
                </w:p>
              </w:tc>
              <w:tc>
                <w:tcPr>
                  <w:tcW w:w="1134" w:type="dxa"/>
                  <w:vAlign w:val="center"/>
                </w:tcPr>
                <w:p>
                  <w:pPr>
                    <w:widowControl/>
                    <w:jc w:val="center"/>
                  </w:pPr>
                  <w:r>
                    <w:t>变压器</w:t>
                  </w:r>
                </w:p>
              </w:tc>
              <w:tc>
                <w:tcPr>
                  <w:tcW w:w="1373" w:type="dxa"/>
                  <w:vAlign w:val="center"/>
                </w:tcPr>
                <w:p>
                  <w:pPr>
                    <w:widowControl/>
                    <w:jc w:val="center"/>
                  </w:pPr>
                  <w:r>
                    <w:rPr>
                      <w:bCs/>
                      <w:szCs w:val="21"/>
                    </w:rPr>
                    <w:t>80kVA/315kVA</w:t>
                  </w:r>
                </w:p>
              </w:tc>
              <w:tc>
                <w:tcPr>
                  <w:tcW w:w="1161" w:type="dxa"/>
                  <w:vAlign w:val="center"/>
                </w:tcPr>
                <w:p>
                  <w:pPr>
                    <w:widowControl/>
                    <w:jc w:val="center"/>
                  </w:pPr>
                  <w:r>
                    <w:t>80kVA</w:t>
                  </w:r>
                </w:p>
              </w:tc>
              <w:tc>
                <w:tcPr>
                  <w:tcW w:w="1294" w:type="dxa"/>
                  <w:vAlign w:val="center"/>
                </w:tcPr>
                <w:p>
                  <w:pPr>
                    <w:widowControl/>
                    <w:jc w:val="center"/>
                  </w:pPr>
                  <w:r>
                    <w:t>80kVA</w:t>
                  </w:r>
                </w:p>
              </w:tc>
              <w:tc>
                <w:tcPr>
                  <w:tcW w:w="1417" w:type="dxa"/>
                  <w:vAlign w:val="center"/>
                </w:tcPr>
                <w:p>
                  <w:pPr>
                    <w:widowControl/>
                    <w:jc w:val="center"/>
                  </w:pPr>
                  <w:r>
                    <w:t>315kVA</w:t>
                  </w:r>
                </w:p>
              </w:tc>
              <w:tc>
                <w:tcPr>
                  <w:tcW w:w="1326" w:type="dxa"/>
                  <w:vAlign w:val="center"/>
                </w:tcPr>
                <w:p>
                  <w:pPr>
                    <w:widowControl/>
                    <w:jc w:val="center"/>
                  </w:pPr>
                  <w:r>
                    <w:t>315kVA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6</w:t>
                  </w:r>
                </w:p>
              </w:tc>
              <w:tc>
                <w:tcPr>
                  <w:tcW w:w="1134" w:type="dxa"/>
                  <w:vAlign w:val="center"/>
                </w:tcPr>
                <w:p>
                  <w:pPr>
                    <w:widowControl/>
                    <w:jc w:val="center"/>
                  </w:pPr>
                  <w:r>
                    <w:t>包装</w:t>
                  </w:r>
                </w:p>
                <w:p>
                  <w:pPr>
                    <w:widowControl/>
                    <w:jc w:val="center"/>
                  </w:pPr>
                  <w:r>
                    <w:t>设备</w:t>
                  </w:r>
                </w:p>
              </w:tc>
              <w:tc>
                <w:tcPr>
                  <w:tcW w:w="1373" w:type="dxa"/>
                  <w:vAlign w:val="center"/>
                </w:tcPr>
                <w:p>
                  <w:pPr>
                    <w:widowControl/>
                    <w:jc w:val="center"/>
                  </w:pPr>
                  <w:r>
                    <w:t>/</w:t>
                  </w:r>
                </w:p>
              </w:tc>
              <w:tc>
                <w:tcPr>
                  <w:tcW w:w="1161" w:type="dxa"/>
                  <w:vAlign w:val="center"/>
                </w:tcPr>
                <w:p>
                  <w:pPr>
                    <w:widowControl/>
                    <w:jc w:val="center"/>
                  </w:pPr>
                  <w:r>
                    <w:t>1套</w:t>
                  </w:r>
                </w:p>
              </w:tc>
              <w:tc>
                <w:tcPr>
                  <w:tcW w:w="1294" w:type="dxa"/>
                  <w:vAlign w:val="center"/>
                </w:tcPr>
                <w:p>
                  <w:pPr>
                    <w:widowControl/>
                    <w:jc w:val="center"/>
                  </w:pPr>
                  <w:r>
                    <w:t>利旧</w:t>
                  </w:r>
                </w:p>
              </w:tc>
              <w:tc>
                <w:tcPr>
                  <w:tcW w:w="1417" w:type="dxa"/>
                  <w:vAlign w:val="center"/>
                </w:tcPr>
                <w:p>
                  <w:pPr>
                    <w:widowControl/>
                    <w:jc w:val="center"/>
                  </w:pPr>
                  <w:r>
                    <w:t>/</w:t>
                  </w:r>
                </w:p>
              </w:tc>
              <w:tc>
                <w:tcPr>
                  <w:tcW w:w="1326" w:type="dxa"/>
                  <w:vAlign w:val="center"/>
                </w:tcPr>
                <w:p>
                  <w:pPr>
                    <w:widowControl/>
                    <w:jc w:val="center"/>
                  </w:pPr>
                  <w:r>
                    <w:t>1套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7</w:t>
                  </w:r>
                </w:p>
              </w:tc>
              <w:tc>
                <w:tcPr>
                  <w:tcW w:w="1134" w:type="dxa"/>
                  <w:vAlign w:val="center"/>
                </w:tcPr>
                <w:p>
                  <w:pPr>
                    <w:widowControl/>
                    <w:jc w:val="center"/>
                  </w:pPr>
                  <w:r>
                    <w:t>蓄热式</w:t>
                  </w:r>
                </w:p>
                <w:p>
                  <w:pPr>
                    <w:widowControl/>
                    <w:jc w:val="center"/>
                  </w:pPr>
                  <w:r>
                    <w:t>加热炉</w:t>
                  </w:r>
                </w:p>
              </w:tc>
              <w:tc>
                <w:tcPr>
                  <w:tcW w:w="1373" w:type="dxa"/>
                  <w:vAlign w:val="center"/>
                </w:tcPr>
                <w:p>
                  <w:pPr>
                    <w:widowControl/>
                    <w:jc w:val="center"/>
                  </w:pPr>
                  <w:r>
                    <w:rPr>
                      <w:bCs/>
                      <w:szCs w:val="21"/>
                    </w:rPr>
                    <w:t>2.3m×2.1m×1.3m</w:t>
                  </w:r>
                </w:p>
              </w:tc>
              <w:tc>
                <w:tcPr>
                  <w:tcW w:w="1161" w:type="dxa"/>
                  <w:vAlign w:val="center"/>
                </w:tcPr>
                <w:p>
                  <w:pPr>
                    <w:widowControl/>
                    <w:jc w:val="center"/>
                  </w:pPr>
                  <w:r>
                    <w:t>/</w:t>
                  </w:r>
                </w:p>
              </w:tc>
              <w:tc>
                <w:tcPr>
                  <w:tcW w:w="1294" w:type="dxa"/>
                  <w:vAlign w:val="center"/>
                </w:tcPr>
                <w:p>
                  <w:pPr>
                    <w:widowControl/>
                    <w:jc w:val="center"/>
                  </w:pPr>
                  <w:r>
                    <w:t>新增1台</w:t>
                  </w:r>
                </w:p>
              </w:tc>
              <w:tc>
                <w:tcPr>
                  <w:tcW w:w="1417" w:type="dxa"/>
                  <w:vAlign w:val="center"/>
                </w:tcPr>
                <w:p>
                  <w:pPr>
                    <w:widowControl/>
                    <w:jc w:val="center"/>
                  </w:pPr>
                  <w:r>
                    <w:t>新增1台</w:t>
                  </w:r>
                </w:p>
              </w:tc>
              <w:tc>
                <w:tcPr>
                  <w:tcW w:w="1326" w:type="dxa"/>
                  <w:vAlign w:val="center"/>
                </w:tcPr>
                <w:p>
                  <w:pPr>
                    <w:widowControl/>
                    <w:jc w:val="center"/>
                  </w:pPr>
                  <w:r>
                    <w:t>2台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8</w:t>
                  </w:r>
                </w:p>
              </w:tc>
              <w:tc>
                <w:tcPr>
                  <w:tcW w:w="1134" w:type="dxa"/>
                  <w:vAlign w:val="center"/>
                </w:tcPr>
                <w:p>
                  <w:pPr>
                    <w:widowControl/>
                    <w:jc w:val="center"/>
                  </w:pPr>
                  <w:r>
                    <w:t>燃气调压柜</w:t>
                  </w:r>
                </w:p>
              </w:tc>
              <w:tc>
                <w:tcPr>
                  <w:tcW w:w="1373" w:type="dxa"/>
                  <w:vAlign w:val="center"/>
                </w:tcPr>
                <w:p>
                  <w:pPr>
                    <w:widowControl/>
                    <w:jc w:val="center"/>
                  </w:pPr>
                  <w:r>
                    <w:rPr>
                      <w:color w:val="000000"/>
                      <w:szCs w:val="21"/>
                    </w:rPr>
                    <w:t>YFQJXC-200/50CA</w:t>
                  </w:r>
                </w:p>
              </w:tc>
              <w:tc>
                <w:tcPr>
                  <w:tcW w:w="1161" w:type="dxa"/>
                  <w:vAlign w:val="center"/>
                </w:tcPr>
                <w:p>
                  <w:pPr>
                    <w:widowControl/>
                    <w:jc w:val="center"/>
                  </w:pPr>
                  <w:r>
                    <w:t>/</w:t>
                  </w:r>
                </w:p>
              </w:tc>
              <w:tc>
                <w:tcPr>
                  <w:tcW w:w="1294" w:type="dxa"/>
                  <w:vAlign w:val="center"/>
                </w:tcPr>
                <w:p>
                  <w:pPr>
                    <w:widowControl/>
                    <w:jc w:val="center"/>
                  </w:pPr>
                  <w:r>
                    <w:t>新增1台</w:t>
                  </w:r>
                </w:p>
              </w:tc>
              <w:tc>
                <w:tcPr>
                  <w:tcW w:w="1417" w:type="dxa"/>
                  <w:vAlign w:val="center"/>
                </w:tcPr>
                <w:p>
                  <w:pPr>
                    <w:widowControl/>
                    <w:jc w:val="center"/>
                  </w:pPr>
                  <w:r>
                    <w:t>/</w:t>
                  </w:r>
                </w:p>
              </w:tc>
              <w:tc>
                <w:tcPr>
                  <w:tcW w:w="1326" w:type="dxa"/>
                  <w:vAlign w:val="center"/>
                </w:tcPr>
                <w:p>
                  <w:pPr>
                    <w:widowControl/>
                    <w:jc w:val="center"/>
                  </w:pPr>
                  <w:r>
                    <w:t>1台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9</w:t>
                  </w:r>
                </w:p>
              </w:tc>
              <w:tc>
                <w:tcPr>
                  <w:tcW w:w="1134" w:type="dxa"/>
                  <w:vAlign w:val="center"/>
                </w:tcPr>
                <w:p>
                  <w:pPr>
                    <w:widowControl/>
                    <w:jc w:val="center"/>
                  </w:pPr>
                  <w:r>
                    <w:t>碾环机</w:t>
                  </w:r>
                </w:p>
              </w:tc>
              <w:tc>
                <w:tcPr>
                  <w:tcW w:w="1373" w:type="dxa"/>
                  <w:vAlign w:val="center"/>
                </w:tcPr>
                <w:p>
                  <w:pPr>
                    <w:widowControl/>
                    <w:jc w:val="center"/>
                  </w:pPr>
                  <w:r>
                    <w:rPr>
                      <w:bCs/>
                      <w:szCs w:val="21"/>
                    </w:rPr>
                    <w:t>D51-1000/φ1600</w:t>
                  </w:r>
                </w:p>
              </w:tc>
              <w:tc>
                <w:tcPr>
                  <w:tcW w:w="1161" w:type="dxa"/>
                  <w:vAlign w:val="center"/>
                </w:tcPr>
                <w:p>
                  <w:pPr>
                    <w:widowControl/>
                    <w:jc w:val="center"/>
                  </w:pPr>
                  <w:r>
                    <w:t>1台</w:t>
                  </w:r>
                </w:p>
              </w:tc>
              <w:tc>
                <w:tcPr>
                  <w:tcW w:w="1294" w:type="dxa"/>
                  <w:vAlign w:val="center"/>
                </w:tcPr>
                <w:p>
                  <w:pPr>
                    <w:widowControl/>
                    <w:jc w:val="center"/>
                  </w:pPr>
                  <w:r>
                    <w:t>/</w:t>
                  </w:r>
                </w:p>
              </w:tc>
              <w:tc>
                <w:tcPr>
                  <w:tcW w:w="1417" w:type="dxa"/>
                  <w:vAlign w:val="center"/>
                </w:tcPr>
                <w:p>
                  <w:pPr>
                    <w:widowControl/>
                    <w:jc w:val="center"/>
                  </w:pPr>
                  <w:r>
                    <w:t>新增1</w:t>
                  </w:r>
                  <w:r>
                    <w:rPr>
                      <w:rFonts w:hint="eastAsia"/>
                    </w:rPr>
                    <w:t>台</w:t>
                  </w:r>
                </w:p>
              </w:tc>
              <w:tc>
                <w:tcPr>
                  <w:tcW w:w="1326" w:type="dxa"/>
                  <w:vAlign w:val="center"/>
                </w:tcPr>
                <w:p>
                  <w:pPr>
                    <w:widowControl/>
                    <w:jc w:val="center"/>
                  </w:pPr>
                  <w:r>
                    <w:t>2台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10</w:t>
                  </w:r>
                </w:p>
              </w:tc>
              <w:tc>
                <w:tcPr>
                  <w:tcW w:w="1134" w:type="dxa"/>
                  <w:vAlign w:val="center"/>
                </w:tcPr>
                <w:p>
                  <w:pPr>
                    <w:widowControl/>
                    <w:jc w:val="center"/>
                  </w:pPr>
                  <w:r>
                    <w:t>夹棒锤</w:t>
                  </w:r>
                </w:p>
              </w:tc>
              <w:tc>
                <w:tcPr>
                  <w:tcW w:w="1373" w:type="dxa"/>
                  <w:vAlign w:val="center"/>
                </w:tcPr>
                <w:p>
                  <w:pPr>
                    <w:widowControl/>
                    <w:jc w:val="center"/>
                  </w:pPr>
                  <w:r>
                    <w:t>4.5t</w:t>
                  </w:r>
                </w:p>
              </w:tc>
              <w:tc>
                <w:tcPr>
                  <w:tcW w:w="1161" w:type="dxa"/>
                  <w:vAlign w:val="center"/>
                </w:tcPr>
                <w:p>
                  <w:pPr>
                    <w:widowControl/>
                    <w:jc w:val="center"/>
                  </w:pPr>
                  <w:r>
                    <w:t>1台</w:t>
                  </w:r>
                </w:p>
              </w:tc>
              <w:tc>
                <w:tcPr>
                  <w:tcW w:w="1294" w:type="dxa"/>
                  <w:vAlign w:val="center"/>
                </w:tcPr>
                <w:p>
                  <w:pPr>
                    <w:widowControl/>
                    <w:jc w:val="center"/>
                  </w:pPr>
                  <w:r>
                    <w:t>利旧1台</w:t>
                  </w:r>
                </w:p>
              </w:tc>
              <w:tc>
                <w:tcPr>
                  <w:tcW w:w="1417" w:type="dxa"/>
                  <w:vAlign w:val="center"/>
                </w:tcPr>
                <w:p>
                  <w:pPr>
                    <w:widowControl/>
                    <w:jc w:val="center"/>
                  </w:pPr>
                  <w:r>
                    <w:t>/</w:t>
                  </w:r>
                </w:p>
              </w:tc>
              <w:tc>
                <w:tcPr>
                  <w:tcW w:w="1326" w:type="dxa"/>
                  <w:vAlign w:val="center"/>
                </w:tcPr>
                <w:p>
                  <w:pPr>
                    <w:widowControl/>
                    <w:jc w:val="center"/>
                  </w:pPr>
                  <w:r>
                    <w:t>1台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629" w:type="dxa"/>
                  <w:vAlign w:val="center"/>
                </w:tcPr>
                <w:p>
                  <w:pPr>
                    <w:widowControl/>
                    <w:jc w:val="center"/>
                  </w:pPr>
                  <w:r>
                    <w:t>11</w:t>
                  </w:r>
                </w:p>
              </w:tc>
              <w:tc>
                <w:tcPr>
                  <w:tcW w:w="1134" w:type="dxa"/>
                  <w:vAlign w:val="center"/>
                </w:tcPr>
                <w:p>
                  <w:pPr>
                    <w:widowControl/>
                    <w:jc w:val="center"/>
                  </w:pPr>
                  <w:r>
                    <w:t>空气锤</w:t>
                  </w:r>
                </w:p>
              </w:tc>
              <w:tc>
                <w:tcPr>
                  <w:tcW w:w="1373" w:type="dxa"/>
                  <w:vAlign w:val="center"/>
                </w:tcPr>
                <w:p>
                  <w:pPr>
                    <w:widowControl/>
                    <w:jc w:val="center"/>
                  </w:pPr>
                  <w:r>
                    <w:t>/</w:t>
                  </w:r>
                </w:p>
              </w:tc>
              <w:tc>
                <w:tcPr>
                  <w:tcW w:w="1161" w:type="dxa"/>
                  <w:vAlign w:val="center"/>
                </w:tcPr>
                <w:p>
                  <w:pPr>
                    <w:widowControl/>
                    <w:jc w:val="center"/>
                  </w:pPr>
                  <w:r>
                    <w:t>/</w:t>
                  </w:r>
                </w:p>
              </w:tc>
              <w:tc>
                <w:tcPr>
                  <w:tcW w:w="1294" w:type="dxa"/>
                  <w:vAlign w:val="center"/>
                </w:tcPr>
                <w:p>
                  <w:pPr>
                    <w:widowControl/>
                    <w:jc w:val="center"/>
                  </w:pPr>
                  <w:r>
                    <w:t>/</w:t>
                  </w:r>
                </w:p>
              </w:tc>
              <w:tc>
                <w:tcPr>
                  <w:tcW w:w="1417" w:type="dxa"/>
                  <w:vAlign w:val="center"/>
                </w:tcPr>
                <w:p>
                  <w:pPr>
                    <w:widowControl/>
                    <w:jc w:val="center"/>
                  </w:pPr>
                  <w:r>
                    <w:t>新增2台</w:t>
                  </w:r>
                </w:p>
              </w:tc>
              <w:tc>
                <w:tcPr>
                  <w:tcW w:w="1326" w:type="dxa"/>
                  <w:vAlign w:val="center"/>
                </w:tcPr>
                <w:p>
                  <w:pPr>
                    <w:widowControl/>
                    <w:jc w:val="center"/>
                  </w:pPr>
                  <w:r>
                    <w:t>2台</w:t>
                  </w:r>
                </w:p>
              </w:tc>
            </w:tr>
          </w:tbl>
          <w:p>
            <w:pPr>
              <w:adjustRightInd w:val="0"/>
              <w:snapToGrid w:val="0"/>
              <w:jc w:val="center"/>
              <w:rPr>
                <w:b/>
                <w:szCs w:val="21"/>
              </w:rPr>
            </w:pPr>
            <w:r>
              <w:rPr>
                <w:b/>
                <w:szCs w:val="21"/>
              </w:rPr>
              <w:t>表</w:t>
            </w:r>
            <w:r>
              <w:rPr>
                <w:rFonts w:hint="eastAsia"/>
                <w:b/>
                <w:szCs w:val="21"/>
              </w:rPr>
              <w:t>6</w:t>
            </w:r>
            <w:r>
              <w:rPr>
                <w:b/>
                <w:szCs w:val="21"/>
              </w:rPr>
              <w:t xml:space="preserve">  天然气加热炉技术参数一览表</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85"/>
              <w:gridCol w:w="2877"/>
              <w:gridCol w:w="1226"/>
              <w:gridCol w:w="1834"/>
              <w:gridCol w:w="14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序号</w:t>
                  </w:r>
                </w:p>
              </w:tc>
              <w:tc>
                <w:tcPr>
                  <w:tcW w:w="2739"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名称</w:t>
                  </w:r>
                </w:p>
              </w:tc>
              <w:tc>
                <w:tcPr>
                  <w:tcW w:w="1167"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单位</w:t>
                  </w:r>
                </w:p>
              </w:tc>
              <w:tc>
                <w:tcPr>
                  <w:tcW w:w="1746"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性能参数</w:t>
                  </w:r>
                </w:p>
              </w:tc>
              <w:tc>
                <w:tcPr>
                  <w:tcW w:w="1420"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炉膛尺寸（深×宽×高）</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mm</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2300×2100×1300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拱顶高度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2</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炉口尺寸（宽×高）</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mm</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1500×600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拱顶高度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3</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炉底标高</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mm</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700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4</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正常工作温度</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1250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5</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最高工作温度</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1300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6</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系统控温精度</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±2</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7</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保温后期工件表面温度均匀性</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±15</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8</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最大装载量</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t</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5</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9</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平均升温速度</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℃/h</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≥100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10</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炉衬结构</w:t>
                  </w:r>
                </w:p>
              </w:tc>
              <w:tc>
                <w:tcPr>
                  <w:tcW w:w="4333" w:type="dxa"/>
                  <w:gridSpan w:val="3"/>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氧化锆陶瓷纤维模块结构</w:t>
                  </w:r>
                  <w:r>
                    <w:rPr>
                      <w:color w:val="auto"/>
                      <w:spacing w:val="0"/>
                      <w:sz w:val="21"/>
                      <w:szCs w:val="21"/>
                    </w:rPr>
                    <w:t>+保温层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11</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炉体表面温升</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50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12</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燃料种类</w:t>
                  </w:r>
                </w:p>
              </w:tc>
              <w:tc>
                <w:tcPr>
                  <w:tcW w:w="4333" w:type="dxa"/>
                  <w:gridSpan w:val="3"/>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天然气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13</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燃料热值</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Kcal∕m³</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8300～8600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14</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炉前燃料压力</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Kpa</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10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15</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加热方式</w:t>
                  </w:r>
                </w:p>
              </w:tc>
              <w:tc>
                <w:tcPr>
                  <w:tcW w:w="4333" w:type="dxa"/>
                  <w:gridSpan w:val="3"/>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炉墙蓄热+弥散燃烧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16</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喷火口数量</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对</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6</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17</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控制方式</w:t>
                  </w:r>
                </w:p>
              </w:tc>
              <w:tc>
                <w:tcPr>
                  <w:tcW w:w="4333" w:type="dxa"/>
                  <w:gridSpan w:val="3"/>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PLC自动控制 人机界面触摸屏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18</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炉子分区数量</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区</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1</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19</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平均排烟温度</w:t>
                  </w:r>
                </w:p>
              </w:tc>
              <w:tc>
                <w:tcPr>
                  <w:tcW w:w="1167"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w:t>
                  </w:r>
                </w:p>
              </w:tc>
              <w:tc>
                <w:tcPr>
                  <w:tcW w:w="1746"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≤100</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3" w:type="dxa"/>
                  <w:tcBorders>
                    <w:tl2br w:val="nil"/>
                    <w:tr2bl w:val="nil"/>
                  </w:tcBorders>
                  <w:vAlign w:val="center"/>
                </w:tcPr>
                <w:p>
                  <w:pPr>
                    <w:pStyle w:val="5"/>
                    <w:snapToGrid/>
                    <w:spacing w:line="240" w:lineRule="auto"/>
                    <w:ind w:left="0" w:leftChars="0" w:right="0" w:rightChars="0" w:firstLine="0" w:firstLineChars="0"/>
                    <w:jc w:val="center"/>
                    <w:rPr>
                      <w:color w:val="auto"/>
                      <w:sz w:val="21"/>
                      <w:szCs w:val="21"/>
                    </w:rPr>
                  </w:pPr>
                  <w:r>
                    <w:rPr>
                      <w:color w:val="auto"/>
                      <w:sz w:val="21"/>
                      <w:szCs w:val="21"/>
                    </w:rPr>
                    <w:t>20</w:t>
                  </w:r>
                </w:p>
              </w:tc>
              <w:tc>
                <w:tcPr>
                  <w:tcW w:w="2739"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排烟方式</w:t>
                  </w:r>
                </w:p>
              </w:tc>
              <w:tc>
                <w:tcPr>
                  <w:tcW w:w="2913" w:type="dxa"/>
                  <w:gridSpan w:val="2"/>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抽烟风机强制排烟，全部由蓄热体排出</w:t>
                  </w:r>
                </w:p>
              </w:tc>
              <w:tc>
                <w:tcPr>
                  <w:tcW w:w="1420" w:type="dxa"/>
                  <w:tcBorders>
                    <w:tl2br w:val="nil"/>
                    <w:tr2bl w:val="nil"/>
                  </w:tcBorders>
                  <w:vAlign w:val="center"/>
                </w:tcPr>
                <w:p>
                  <w:pPr>
                    <w:pStyle w:val="10"/>
                    <w:spacing w:before="0" w:beforeAutospacing="0" w:after="0" w:afterAutospacing="0"/>
                    <w:jc w:val="center"/>
                    <w:rPr>
                      <w:rFonts w:ascii="Times New Roman" w:hAnsi="Times New Roman" w:cs="Times New Roman"/>
                      <w:sz w:val="21"/>
                      <w:szCs w:val="21"/>
                    </w:rPr>
                  </w:pPr>
                  <w:r>
                    <w:rPr>
                      <w:rFonts w:ascii="Times New Roman" w:hAnsi="Times New Roman" w:cs="Times New Roman"/>
                      <w:sz w:val="21"/>
                      <w:szCs w:val="21"/>
                    </w:rPr>
                    <w:t>无辅助高温烟道</w:t>
                  </w:r>
                </w:p>
              </w:tc>
            </w:tr>
          </w:tbl>
          <w:p>
            <w:pPr>
              <w:adjustRightInd w:val="0"/>
              <w:snapToGrid w:val="0"/>
              <w:spacing w:line="360" w:lineRule="auto"/>
              <w:ind w:firstLine="482" w:firstLineChars="200"/>
              <w:rPr>
                <w:b/>
                <w:sz w:val="24"/>
              </w:rPr>
            </w:pPr>
            <w:r>
              <w:rPr>
                <w:b/>
                <w:sz w:val="24"/>
              </w:rPr>
              <w:t>4、总平面布置图</w:t>
            </w:r>
          </w:p>
          <w:p>
            <w:pPr>
              <w:spacing w:before="48" w:beforeLines="20" w:line="360" w:lineRule="auto"/>
              <w:ind w:firstLine="480" w:firstLineChars="200"/>
              <w:rPr>
                <w:color w:val="000000"/>
                <w:sz w:val="24"/>
                <w:szCs w:val="32"/>
              </w:rPr>
            </w:pPr>
            <w:r>
              <w:rPr>
                <w:color w:val="000000"/>
                <w:sz w:val="24"/>
                <w:szCs w:val="32"/>
              </w:rPr>
              <w:t>本项目位于定襄县留晖工业聚集区内，占地面积6210</w:t>
            </w:r>
            <w:r>
              <w:rPr>
                <w:rFonts w:hint="eastAsia"/>
                <w:color w:val="000000"/>
                <w:sz w:val="24"/>
                <w:szCs w:val="32"/>
              </w:rPr>
              <w:t>.3</w:t>
            </w:r>
            <w:r>
              <w:rPr>
                <w:color w:val="000000"/>
                <w:sz w:val="24"/>
                <w:szCs w:val="32"/>
              </w:rPr>
              <w:t>m</w:t>
            </w:r>
            <w:r>
              <w:rPr>
                <w:color w:val="000000"/>
                <w:sz w:val="24"/>
                <w:szCs w:val="32"/>
                <w:vertAlign w:val="superscript"/>
              </w:rPr>
              <w:t>2</w:t>
            </w:r>
            <w:r>
              <w:rPr>
                <w:color w:val="000000"/>
                <w:sz w:val="24"/>
                <w:szCs w:val="32"/>
              </w:rPr>
              <w:t>，厂区东西走向横向布置，包装及成品车间位于厂区东南角，碾环车间位于包装及成品车间西侧，办公生活区位于厂区东北角，机加工车间位于办公生活区西侧，原料场地位于机加工车间南侧，锻造区域位于厂区西部，危废暂存间和固废暂存</w:t>
            </w:r>
            <w:r>
              <w:rPr>
                <w:rFonts w:hint="eastAsia"/>
                <w:color w:val="000000"/>
                <w:sz w:val="24"/>
                <w:szCs w:val="32"/>
              </w:rPr>
              <w:t>间</w:t>
            </w:r>
            <w:r>
              <w:rPr>
                <w:color w:val="000000"/>
                <w:sz w:val="24"/>
                <w:szCs w:val="32"/>
              </w:rPr>
              <w:t>位于厂区西南角。厂区平面布置图见附图3。</w:t>
            </w:r>
          </w:p>
          <w:p>
            <w:pPr>
              <w:adjustRightInd w:val="0"/>
              <w:snapToGrid w:val="0"/>
              <w:spacing w:line="360" w:lineRule="auto"/>
              <w:ind w:firstLine="482" w:firstLineChars="200"/>
              <w:rPr>
                <w:b/>
                <w:sz w:val="24"/>
              </w:rPr>
            </w:pPr>
            <w:r>
              <w:rPr>
                <w:b/>
                <w:sz w:val="24"/>
              </w:rPr>
              <w:t>5、原辅材料及产品方案</w:t>
            </w:r>
          </w:p>
          <w:p>
            <w:pPr>
              <w:adjustRightInd w:val="0"/>
              <w:snapToGrid w:val="0"/>
              <w:spacing w:line="360" w:lineRule="auto"/>
              <w:ind w:firstLine="480" w:firstLineChars="200"/>
              <w:jc w:val="left"/>
              <w:rPr>
                <w:bCs/>
                <w:sz w:val="24"/>
              </w:rPr>
            </w:pPr>
            <w:r>
              <w:rPr>
                <w:bCs/>
                <w:sz w:val="24"/>
              </w:rPr>
              <w:t>本项目生产规模及产品方案见表</w:t>
            </w:r>
            <w:r>
              <w:rPr>
                <w:rFonts w:hint="eastAsia"/>
                <w:bCs/>
                <w:sz w:val="24"/>
              </w:rPr>
              <w:t>7</w:t>
            </w:r>
            <w:r>
              <w:rPr>
                <w:bCs/>
                <w:sz w:val="24"/>
              </w:rPr>
              <w:t>。</w:t>
            </w:r>
          </w:p>
          <w:p>
            <w:pPr>
              <w:adjustRightInd w:val="0"/>
              <w:snapToGrid w:val="0"/>
              <w:spacing w:line="360" w:lineRule="auto"/>
              <w:jc w:val="center"/>
              <w:rPr>
                <w:b/>
                <w:szCs w:val="21"/>
              </w:rPr>
            </w:pPr>
            <w:r>
              <w:rPr>
                <w:b/>
                <w:szCs w:val="21"/>
              </w:rPr>
              <w:t>表</w:t>
            </w:r>
            <w:r>
              <w:rPr>
                <w:rFonts w:hint="eastAsia"/>
                <w:b/>
                <w:szCs w:val="21"/>
              </w:rPr>
              <w:t>7</w:t>
            </w:r>
            <w:r>
              <w:rPr>
                <w:b/>
                <w:szCs w:val="21"/>
              </w:rPr>
              <w:t xml:space="preserve">  生产规模及产品方案表</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20"/>
              <w:gridCol w:w="1932"/>
              <w:gridCol w:w="2229"/>
              <w:gridCol w:w="1634"/>
              <w:gridCol w:w="14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314" w:type="dxa"/>
                  <w:gridSpan w:val="5"/>
                  <w:vAlign w:val="center"/>
                </w:tcPr>
                <w:p>
                  <w:pPr>
                    <w:adjustRightInd w:val="0"/>
                    <w:snapToGrid w:val="0"/>
                    <w:jc w:val="center"/>
                    <w:rPr>
                      <w:bCs/>
                      <w:szCs w:val="21"/>
                    </w:rPr>
                  </w:pPr>
                  <w:r>
                    <w:rPr>
                      <w:bCs/>
                      <w:szCs w:val="21"/>
                    </w:rPr>
                    <w:t>一期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20" w:type="dxa"/>
                  <w:vAlign w:val="center"/>
                </w:tcPr>
                <w:p>
                  <w:pPr>
                    <w:adjustRightInd w:val="0"/>
                    <w:snapToGrid w:val="0"/>
                    <w:jc w:val="center"/>
                    <w:rPr>
                      <w:bCs/>
                      <w:szCs w:val="21"/>
                    </w:rPr>
                  </w:pPr>
                  <w:r>
                    <w:rPr>
                      <w:bCs/>
                      <w:szCs w:val="21"/>
                    </w:rPr>
                    <w:t>序号</w:t>
                  </w:r>
                </w:p>
              </w:tc>
              <w:tc>
                <w:tcPr>
                  <w:tcW w:w="1932" w:type="dxa"/>
                  <w:vAlign w:val="center"/>
                </w:tcPr>
                <w:p>
                  <w:pPr>
                    <w:adjustRightInd w:val="0"/>
                    <w:snapToGrid w:val="0"/>
                    <w:jc w:val="center"/>
                    <w:rPr>
                      <w:bCs/>
                      <w:szCs w:val="21"/>
                    </w:rPr>
                  </w:pPr>
                  <w:r>
                    <w:rPr>
                      <w:bCs/>
                      <w:szCs w:val="21"/>
                    </w:rPr>
                    <w:t>产品名称</w:t>
                  </w:r>
                </w:p>
              </w:tc>
              <w:tc>
                <w:tcPr>
                  <w:tcW w:w="2229" w:type="dxa"/>
                  <w:vAlign w:val="center"/>
                </w:tcPr>
                <w:p>
                  <w:pPr>
                    <w:adjustRightInd w:val="0"/>
                    <w:snapToGrid w:val="0"/>
                    <w:jc w:val="center"/>
                    <w:rPr>
                      <w:bCs/>
                      <w:szCs w:val="21"/>
                    </w:rPr>
                  </w:pPr>
                  <w:r>
                    <w:rPr>
                      <w:bCs/>
                      <w:szCs w:val="21"/>
                    </w:rPr>
                    <w:t>规格及型号</w:t>
                  </w:r>
                </w:p>
              </w:tc>
              <w:tc>
                <w:tcPr>
                  <w:tcW w:w="1634" w:type="dxa"/>
                  <w:vAlign w:val="center"/>
                </w:tcPr>
                <w:p>
                  <w:pPr>
                    <w:adjustRightInd w:val="0"/>
                    <w:snapToGrid w:val="0"/>
                    <w:jc w:val="center"/>
                    <w:rPr>
                      <w:bCs/>
                      <w:szCs w:val="21"/>
                    </w:rPr>
                  </w:pPr>
                  <w:r>
                    <w:rPr>
                      <w:bCs/>
                      <w:szCs w:val="21"/>
                    </w:rPr>
                    <w:t>规模</w:t>
                  </w:r>
                </w:p>
              </w:tc>
              <w:tc>
                <w:tcPr>
                  <w:tcW w:w="1499" w:type="dxa"/>
                  <w:vAlign w:val="center"/>
                </w:tcPr>
                <w:p>
                  <w:pPr>
                    <w:adjustRightInd w:val="0"/>
                    <w:snapToGrid w:val="0"/>
                    <w:jc w:val="center"/>
                    <w:rPr>
                      <w:bCs/>
                      <w:szCs w:val="21"/>
                    </w:rPr>
                  </w:pPr>
                  <w:r>
                    <w:rPr>
                      <w:bCs/>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20" w:type="dxa"/>
                  <w:vAlign w:val="center"/>
                </w:tcPr>
                <w:p>
                  <w:pPr>
                    <w:adjustRightInd w:val="0"/>
                    <w:snapToGrid w:val="0"/>
                    <w:jc w:val="center"/>
                    <w:rPr>
                      <w:bCs/>
                      <w:szCs w:val="21"/>
                    </w:rPr>
                  </w:pPr>
                  <w:r>
                    <w:rPr>
                      <w:rFonts w:hint="eastAsia"/>
                      <w:bCs/>
                      <w:szCs w:val="21"/>
                    </w:rPr>
                    <w:t>1</w:t>
                  </w:r>
                </w:p>
              </w:tc>
              <w:tc>
                <w:tcPr>
                  <w:tcW w:w="1932" w:type="dxa"/>
                  <w:vAlign w:val="center"/>
                </w:tcPr>
                <w:p>
                  <w:pPr>
                    <w:adjustRightInd w:val="0"/>
                    <w:snapToGrid w:val="0"/>
                    <w:jc w:val="center"/>
                    <w:rPr>
                      <w:bCs/>
                      <w:szCs w:val="21"/>
                    </w:rPr>
                  </w:pPr>
                  <w:r>
                    <w:rPr>
                      <w:bCs/>
                      <w:szCs w:val="21"/>
                    </w:rPr>
                    <w:t>锻件、法兰</w:t>
                  </w:r>
                </w:p>
              </w:tc>
              <w:tc>
                <w:tcPr>
                  <w:tcW w:w="2229" w:type="dxa"/>
                  <w:vAlign w:val="center"/>
                </w:tcPr>
                <w:p>
                  <w:pPr>
                    <w:adjustRightInd w:val="0"/>
                    <w:snapToGrid w:val="0"/>
                    <w:jc w:val="center"/>
                    <w:rPr>
                      <w:bCs/>
                      <w:szCs w:val="21"/>
                    </w:rPr>
                  </w:pPr>
                  <w:r>
                    <w:rPr>
                      <w:bCs/>
                      <w:szCs w:val="21"/>
                    </w:rPr>
                    <w:t>φ15～1000mm</w:t>
                  </w:r>
                </w:p>
              </w:tc>
              <w:tc>
                <w:tcPr>
                  <w:tcW w:w="1634" w:type="dxa"/>
                  <w:vAlign w:val="center"/>
                </w:tcPr>
                <w:p>
                  <w:pPr>
                    <w:adjustRightInd w:val="0"/>
                    <w:snapToGrid w:val="0"/>
                    <w:jc w:val="center"/>
                    <w:rPr>
                      <w:bCs/>
                      <w:szCs w:val="21"/>
                    </w:rPr>
                  </w:pPr>
                  <w:r>
                    <w:rPr>
                      <w:rFonts w:hint="eastAsia"/>
                      <w:bCs/>
                      <w:szCs w:val="21"/>
                    </w:rPr>
                    <w:t>1000t/a</w:t>
                  </w:r>
                </w:p>
              </w:tc>
              <w:tc>
                <w:tcPr>
                  <w:tcW w:w="1499" w:type="dxa"/>
                  <w:vAlign w:val="center"/>
                </w:tcPr>
                <w:p>
                  <w:pPr>
                    <w:adjustRightInd w:val="0"/>
                    <w:snapToGrid w:val="0"/>
                    <w:jc w:val="center"/>
                    <w:rPr>
                      <w:bCs/>
                      <w:szCs w:val="21"/>
                    </w:rPr>
                  </w:pPr>
                  <w:r>
                    <w:rPr>
                      <w:bCs/>
                      <w:szCs w:val="21"/>
                    </w:rPr>
                    <w:t>新增</w:t>
                  </w:r>
                  <w:r>
                    <w:rPr>
                      <w:rFonts w:hint="eastAsia"/>
                      <w:bCs/>
                      <w:szCs w:val="21"/>
                    </w:rPr>
                    <w:t>500t/a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314" w:type="dxa"/>
                  <w:gridSpan w:val="5"/>
                  <w:vAlign w:val="center"/>
                </w:tcPr>
                <w:p>
                  <w:pPr>
                    <w:adjustRightInd w:val="0"/>
                    <w:snapToGrid w:val="0"/>
                    <w:jc w:val="center"/>
                    <w:rPr>
                      <w:bCs/>
                      <w:szCs w:val="21"/>
                    </w:rPr>
                  </w:pPr>
                  <w:r>
                    <w:rPr>
                      <w:bCs/>
                      <w:szCs w:val="21"/>
                    </w:rPr>
                    <w:t>二期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20" w:type="dxa"/>
                  <w:vAlign w:val="center"/>
                </w:tcPr>
                <w:p>
                  <w:pPr>
                    <w:adjustRightInd w:val="0"/>
                    <w:snapToGrid w:val="0"/>
                    <w:jc w:val="center"/>
                    <w:rPr>
                      <w:bCs/>
                      <w:szCs w:val="21"/>
                    </w:rPr>
                  </w:pPr>
                  <w:r>
                    <w:rPr>
                      <w:bCs/>
                      <w:szCs w:val="21"/>
                    </w:rPr>
                    <w:t>序号</w:t>
                  </w:r>
                </w:p>
              </w:tc>
              <w:tc>
                <w:tcPr>
                  <w:tcW w:w="1932" w:type="dxa"/>
                  <w:vAlign w:val="center"/>
                </w:tcPr>
                <w:p>
                  <w:pPr>
                    <w:adjustRightInd w:val="0"/>
                    <w:snapToGrid w:val="0"/>
                    <w:jc w:val="center"/>
                    <w:rPr>
                      <w:bCs/>
                      <w:szCs w:val="21"/>
                    </w:rPr>
                  </w:pPr>
                  <w:r>
                    <w:rPr>
                      <w:bCs/>
                      <w:szCs w:val="21"/>
                    </w:rPr>
                    <w:t>产品名称</w:t>
                  </w:r>
                </w:p>
              </w:tc>
              <w:tc>
                <w:tcPr>
                  <w:tcW w:w="2229" w:type="dxa"/>
                  <w:vAlign w:val="center"/>
                </w:tcPr>
                <w:p>
                  <w:pPr>
                    <w:adjustRightInd w:val="0"/>
                    <w:snapToGrid w:val="0"/>
                    <w:jc w:val="center"/>
                    <w:rPr>
                      <w:bCs/>
                      <w:szCs w:val="21"/>
                    </w:rPr>
                  </w:pPr>
                  <w:r>
                    <w:rPr>
                      <w:bCs/>
                      <w:szCs w:val="21"/>
                    </w:rPr>
                    <w:t>规格及型号</w:t>
                  </w:r>
                </w:p>
              </w:tc>
              <w:tc>
                <w:tcPr>
                  <w:tcW w:w="1634" w:type="dxa"/>
                  <w:vAlign w:val="center"/>
                </w:tcPr>
                <w:p>
                  <w:pPr>
                    <w:adjustRightInd w:val="0"/>
                    <w:snapToGrid w:val="0"/>
                    <w:jc w:val="center"/>
                    <w:rPr>
                      <w:bCs/>
                      <w:szCs w:val="21"/>
                    </w:rPr>
                  </w:pPr>
                  <w:r>
                    <w:rPr>
                      <w:bCs/>
                      <w:szCs w:val="21"/>
                    </w:rPr>
                    <w:t>规模</w:t>
                  </w:r>
                </w:p>
              </w:tc>
              <w:tc>
                <w:tcPr>
                  <w:tcW w:w="1499" w:type="dxa"/>
                  <w:vAlign w:val="center"/>
                </w:tcPr>
                <w:p>
                  <w:pPr>
                    <w:adjustRightInd w:val="0"/>
                    <w:snapToGrid w:val="0"/>
                    <w:jc w:val="center"/>
                    <w:rPr>
                      <w:bCs/>
                      <w:szCs w:val="21"/>
                    </w:rPr>
                  </w:pPr>
                  <w:r>
                    <w:rPr>
                      <w:bCs/>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20" w:type="dxa"/>
                  <w:vAlign w:val="center"/>
                </w:tcPr>
                <w:p>
                  <w:pPr>
                    <w:adjustRightInd w:val="0"/>
                    <w:snapToGrid w:val="0"/>
                    <w:jc w:val="center"/>
                    <w:rPr>
                      <w:bCs/>
                      <w:szCs w:val="21"/>
                    </w:rPr>
                  </w:pPr>
                  <w:r>
                    <w:rPr>
                      <w:rFonts w:hint="eastAsia"/>
                      <w:bCs/>
                      <w:szCs w:val="21"/>
                    </w:rPr>
                    <w:t>2</w:t>
                  </w:r>
                </w:p>
              </w:tc>
              <w:tc>
                <w:tcPr>
                  <w:tcW w:w="1932" w:type="dxa"/>
                  <w:vAlign w:val="center"/>
                </w:tcPr>
                <w:p>
                  <w:pPr>
                    <w:adjustRightInd w:val="0"/>
                    <w:snapToGrid w:val="0"/>
                    <w:jc w:val="center"/>
                    <w:rPr>
                      <w:bCs/>
                      <w:szCs w:val="21"/>
                    </w:rPr>
                  </w:pPr>
                  <w:r>
                    <w:rPr>
                      <w:bCs/>
                      <w:szCs w:val="21"/>
                    </w:rPr>
                    <w:t>锻件、法兰</w:t>
                  </w:r>
                </w:p>
              </w:tc>
              <w:tc>
                <w:tcPr>
                  <w:tcW w:w="2229" w:type="dxa"/>
                  <w:vAlign w:val="center"/>
                </w:tcPr>
                <w:p>
                  <w:pPr>
                    <w:adjustRightInd w:val="0"/>
                    <w:snapToGrid w:val="0"/>
                    <w:jc w:val="center"/>
                    <w:rPr>
                      <w:bCs/>
                      <w:szCs w:val="21"/>
                    </w:rPr>
                  </w:pPr>
                  <w:r>
                    <w:rPr>
                      <w:bCs/>
                      <w:szCs w:val="21"/>
                    </w:rPr>
                    <w:t>φ15～1000mm</w:t>
                  </w:r>
                </w:p>
              </w:tc>
              <w:tc>
                <w:tcPr>
                  <w:tcW w:w="1634" w:type="dxa"/>
                  <w:vAlign w:val="center"/>
                </w:tcPr>
                <w:p>
                  <w:pPr>
                    <w:adjustRightInd w:val="0"/>
                    <w:snapToGrid w:val="0"/>
                    <w:jc w:val="center"/>
                    <w:rPr>
                      <w:bCs/>
                      <w:szCs w:val="21"/>
                    </w:rPr>
                  </w:pPr>
                  <w:r>
                    <w:rPr>
                      <w:rFonts w:hint="eastAsia"/>
                      <w:bCs/>
                      <w:szCs w:val="21"/>
                    </w:rPr>
                    <w:t>2</w:t>
                  </w:r>
                  <w:r>
                    <w:rPr>
                      <w:bCs/>
                      <w:szCs w:val="21"/>
                    </w:rPr>
                    <w:t>000t/a</w:t>
                  </w:r>
                </w:p>
              </w:tc>
              <w:tc>
                <w:tcPr>
                  <w:tcW w:w="1499" w:type="dxa"/>
                  <w:vAlign w:val="center"/>
                </w:tcPr>
                <w:p>
                  <w:pPr>
                    <w:adjustRightInd w:val="0"/>
                    <w:snapToGrid w:val="0"/>
                    <w:jc w:val="center"/>
                    <w:rPr>
                      <w:bCs/>
                      <w:szCs w:val="21"/>
                    </w:rPr>
                  </w:pPr>
                  <w:r>
                    <w:rPr>
                      <w:bCs/>
                      <w:szCs w:val="21"/>
                    </w:rPr>
                    <w:t>新增2</w:t>
                  </w:r>
                  <w:r>
                    <w:rPr>
                      <w:rFonts w:hint="eastAsia"/>
                      <w:bCs/>
                      <w:szCs w:val="21"/>
                    </w:rPr>
                    <w:t>0</w:t>
                  </w:r>
                  <w:r>
                    <w:rPr>
                      <w:bCs/>
                      <w:szCs w:val="21"/>
                    </w:rPr>
                    <w:t>00t/a</w:t>
                  </w:r>
                </w:p>
              </w:tc>
            </w:tr>
          </w:tbl>
          <w:p>
            <w:pPr>
              <w:adjustRightInd w:val="0"/>
              <w:snapToGrid w:val="0"/>
              <w:spacing w:line="360" w:lineRule="auto"/>
              <w:ind w:firstLine="480" w:firstLineChars="200"/>
              <w:rPr>
                <w:bCs/>
                <w:sz w:val="24"/>
              </w:rPr>
            </w:pPr>
            <w:r>
              <w:rPr>
                <w:bCs/>
                <w:sz w:val="24"/>
              </w:rPr>
              <w:t>本项目改造完成后生产规模为3000吨/年锻件、法兰，本项目生产主要原辅材料为钢材和天然气，钢材由太钢和包钢供应，天然气由山西国新定襄燃气有限公司管道天然气提供，天然气管道已经覆盖本项目厂区，本项目天然气可以直接从管道接入。</w:t>
            </w:r>
          </w:p>
          <w:p>
            <w:pPr>
              <w:adjustRightInd w:val="0"/>
              <w:snapToGrid w:val="0"/>
              <w:spacing w:line="360" w:lineRule="auto"/>
              <w:ind w:firstLine="480" w:firstLineChars="200"/>
              <w:rPr>
                <w:bCs/>
                <w:sz w:val="24"/>
              </w:rPr>
            </w:pPr>
            <w:r>
              <w:rPr>
                <w:bCs/>
                <w:sz w:val="24"/>
              </w:rPr>
              <w:t>项目原辅材料用量见表</w:t>
            </w:r>
            <w:r>
              <w:rPr>
                <w:rFonts w:hint="eastAsia"/>
                <w:bCs/>
                <w:sz w:val="24"/>
              </w:rPr>
              <w:t>8</w:t>
            </w:r>
            <w:r>
              <w:rPr>
                <w:bCs/>
                <w:sz w:val="24"/>
              </w:rPr>
              <w:t>。</w:t>
            </w:r>
          </w:p>
          <w:p>
            <w:pPr>
              <w:adjustRightInd w:val="0"/>
              <w:snapToGrid w:val="0"/>
              <w:jc w:val="center"/>
              <w:rPr>
                <w:b/>
                <w:szCs w:val="21"/>
              </w:rPr>
            </w:pPr>
          </w:p>
          <w:p>
            <w:pPr>
              <w:adjustRightInd w:val="0"/>
              <w:snapToGrid w:val="0"/>
              <w:jc w:val="center"/>
              <w:rPr>
                <w:b/>
                <w:szCs w:val="21"/>
              </w:rPr>
            </w:pPr>
          </w:p>
          <w:p>
            <w:pPr>
              <w:adjustRightInd w:val="0"/>
              <w:snapToGrid w:val="0"/>
              <w:jc w:val="center"/>
              <w:rPr>
                <w:b/>
                <w:szCs w:val="21"/>
              </w:rPr>
            </w:pPr>
          </w:p>
          <w:p>
            <w:pPr>
              <w:adjustRightInd w:val="0"/>
              <w:snapToGrid w:val="0"/>
              <w:jc w:val="center"/>
              <w:rPr>
                <w:b/>
                <w:szCs w:val="21"/>
              </w:rPr>
            </w:pPr>
          </w:p>
          <w:p>
            <w:pPr>
              <w:adjustRightInd w:val="0"/>
              <w:snapToGrid w:val="0"/>
              <w:jc w:val="center"/>
              <w:rPr>
                <w:b/>
                <w:szCs w:val="21"/>
              </w:rPr>
            </w:pPr>
          </w:p>
          <w:p>
            <w:pPr>
              <w:adjustRightInd w:val="0"/>
              <w:snapToGrid w:val="0"/>
              <w:jc w:val="center"/>
              <w:rPr>
                <w:b/>
                <w:szCs w:val="21"/>
              </w:rPr>
            </w:pPr>
          </w:p>
          <w:p>
            <w:pPr>
              <w:adjustRightInd w:val="0"/>
              <w:snapToGrid w:val="0"/>
              <w:jc w:val="center"/>
              <w:rPr>
                <w:b/>
                <w:szCs w:val="21"/>
              </w:rPr>
            </w:pPr>
          </w:p>
          <w:p>
            <w:pPr>
              <w:adjustRightInd w:val="0"/>
              <w:snapToGrid w:val="0"/>
              <w:jc w:val="center"/>
              <w:rPr>
                <w:b/>
                <w:szCs w:val="21"/>
              </w:rPr>
            </w:pPr>
            <w:r>
              <w:rPr>
                <w:b/>
                <w:szCs w:val="21"/>
              </w:rPr>
              <w:t>表</w:t>
            </w:r>
            <w:r>
              <w:rPr>
                <w:rFonts w:hint="eastAsia"/>
                <w:b/>
                <w:szCs w:val="21"/>
              </w:rPr>
              <w:t>8</w:t>
            </w:r>
            <w:r>
              <w:rPr>
                <w:b/>
                <w:szCs w:val="21"/>
              </w:rPr>
              <w:t xml:space="preserve">  原辅材料用量表</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99"/>
              <w:gridCol w:w="1113"/>
              <w:gridCol w:w="992"/>
              <w:gridCol w:w="1276"/>
              <w:gridCol w:w="1417"/>
              <w:gridCol w:w="1276"/>
              <w:gridCol w:w="17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99" w:type="dxa"/>
                  <w:vAlign w:val="center"/>
                </w:tcPr>
                <w:p>
                  <w:pPr>
                    <w:adjustRightInd w:val="0"/>
                    <w:snapToGrid w:val="0"/>
                    <w:jc w:val="center"/>
                    <w:rPr>
                      <w:bCs/>
                      <w:szCs w:val="21"/>
                    </w:rPr>
                  </w:pPr>
                  <w:r>
                    <w:rPr>
                      <w:bCs/>
                      <w:szCs w:val="21"/>
                    </w:rPr>
                    <w:t>序号</w:t>
                  </w:r>
                </w:p>
              </w:tc>
              <w:tc>
                <w:tcPr>
                  <w:tcW w:w="1113" w:type="dxa"/>
                  <w:vAlign w:val="center"/>
                </w:tcPr>
                <w:p>
                  <w:pPr>
                    <w:adjustRightInd w:val="0"/>
                    <w:snapToGrid w:val="0"/>
                    <w:jc w:val="center"/>
                    <w:rPr>
                      <w:bCs/>
                      <w:szCs w:val="21"/>
                    </w:rPr>
                  </w:pPr>
                  <w:r>
                    <w:rPr>
                      <w:bCs/>
                      <w:szCs w:val="21"/>
                    </w:rPr>
                    <w:t>原料名称</w:t>
                  </w:r>
                </w:p>
              </w:tc>
              <w:tc>
                <w:tcPr>
                  <w:tcW w:w="992" w:type="dxa"/>
                  <w:vAlign w:val="center"/>
                </w:tcPr>
                <w:p>
                  <w:pPr>
                    <w:adjustRightInd w:val="0"/>
                    <w:snapToGrid w:val="0"/>
                    <w:jc w:val="center"/>
                    <w:rPr>
                      <w:bCs/>
                      <w:szCs w:val="21"/>
                    </w:rPr>
                  </w:pPr>
                  <w:r>
                    <w:rPr>
                      <w:bCs/>
                      <w:szCs w:val="21"/>
                    </w:rPr>
                    <w:t>单位</w:t>
                  </w:r>
                </w:p>
              </w:tc>
              <w:tc>
                <w:tcPr>
                  <w:tcW w:w="1276" w:type="dxa"/>
                  <w:vAlign w:val="center"/>
                </w:tcPr>
                <w:p>
                  <w:pPr>
                    <w:adjustRightInd w:val="0"/>
                    <w:snapToGrid w:val="0"/>
                    <w:jc w:val="center"/>
                    <w:rPr>
                      <w:bCs/>
                      <w:szCs w:val="21"/>
                    </w:rPr>
                  </w:pPr>
                  <w:r>
                    <w:rPr>
                      <w:bCs/>
                      <w:szCs w:val="21"/>
                    </w:rPr>
                    <w:t>一期用量（1000t/a）</w:t>
                  </w:r>
                </w:p>
              </w:tc>
              <w:tc>
                <w:tcPr>
                  <w:tcW w:w="1417" w:type="dxa"/>
                  <w:vAlign w:val="center"/>
                </w:tcPr>
                <w:p>
                  <w:pPr>
                    <w:adjustRightInd w:val="0"/>
                    <w:snapToGrid w:val="0"/>
                    <w:jc w:val="center"/>
                    <w:rPr>
                      <w:bCs/>
                      <w:szCs w:val="21"/>
                    </w:rPr>
                  </w:pPr>
                  <w:r>
                    <w:rPr>
                      <w:bCs/>
                      <w:szCs w:val="21"/>
                    </w:rPr>
                    <w:t>二期用量</w:t>
                  </w:r>
                </w:p>
                <w:p>
                  <w:pPr>
                    <w:adjustRightInd w:val="0"/>
                    <w:snapToGrid w:val="0"/>
                    <w:jc w:val="center"/>
                    <w:rPr>
                      <w:bCs/>
                      <w:szCs w:val="21"/>
                    </w:rPr>
                  </w:pPr>
                  <w:r>
                    <w:rPr>
                      <w:bCs/>
                      <w:szCs w:val="21"/>
                    </w:rPr>
                    <w:t>（2000t/a）</w:t>
                  </w:r>
                </w:p>
              </w:tc>
              <w:tc>
                <w:tcPr>
                  <w:tcW w:w="1276" w:type="dxa"/>
                  <w:vAlign w:val="center"/>
                </w:tcPr>
                <w:p>
                  <w:pPr>
                    <w:adjustRightInd w:val="0"/>
                    <w:snapToGrid w:val="0"/>
                    <w:jc w:val="center"/>
                    <w:rPr>
                      <w:bCs/>
                      <w:szCs w:val="21"/>
                    </w:rPr>
                  </w:pPr>
                  <w:r>
                    <w:rPr>
                      <w:bCs/>
                      <w:szCs w:val="21"/>
                    </w:rPr>
                    <w:t>扩建完成（3000t/a）</w:t>
                  </w:r>
                </w:p>
              </w:tc>
              <w:tc>
                <w:tcPr>
                  <w:tcW w:w="1741" w:type="dxa"/>
                  <w:vAlign w:val="center"/>
                </w:tcPr>
                <w:p>
                  <w:pPr>
                    <w:adjustRightInd w:val="0"/>
                    <w:snapToGrid w:val="0"/>
                    <w:jc w:val="center"/>
                    <w:rPr>
                      <w:bCs/>
                      <w:szCs w:val="21"/>
                    </w:rPr>
                  </w:pPr>
                  <w:r>
                    <w:rPr>
                      <w:bCs/>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99" w:type="dxa"/>
                  <w:vAlign w:val="center"/>
                </w:tcPr>
                <w:p>
                  <w:pPr>
                    <w:adjustRightInd w:val="0"/>
                    <w:snapToGrid w:val="0"/>
                    <w:jc w:val="center"/>
                    <w:rPr>
                      <w:bCs/>
                      <w:szCs w:val="21"/>
                    </w:rPr>
                  </w:pPr>
                  <w:r>
                    <w:rPr>
                      <w:bCs/>
                      <w:szCs w:val="21"/>
                    </w:rPr>
                    <w:t>1</w:t>
                  </w:r>
                </w:p>
              </w:tc>
              <w:tc>
                <w:tcPr>
                  <w:tcW w:w="1113" w:type="dxa"/>
                  <w:vAlign w:val="center"/>
                </w:tcPr>
                <w:p>
                  <w:pPr>
                    <w:adjustRightInd w:val="0"/>
                    <w:snapToGrid w:val="0"/>
                    <w:jc w:val="center"/>
                    <w:rPr>
                      <w:bCs/>
                      <w:szCs w:val="21"/>
                    </w:rPr>
                  </w:pPr>
                  <w:r>
                    <w:rPr>
                      <w:bCs/>
                      <w:szCs w:val="21"/>
                    </w:rPr>
                    <w:t>钢材</w:t>
                  </w:r>
                </w:p>
              </w:tc>
              <w:tc>
                <w:tcPr>
                  <w:tcW w:w="992" w:type="dxa"/>
                  <w:vAlign w:val="center"/>
                </w:tcPr>
                <w:p>
                  <w:pPr>
                    <w:adjustRightInd w:val="0"/>
                    <w:snapToGrid w:val="0"/>
                    <w:jc w:val="center"/>
                    <w:rPr>
                      <w:bCs/>
                      <w:szCs w:val="21"/>
                    </w:rPr>
                  </w:pPr>
                  <w:r>
                    <w:rPr>
                      <w:bCs/>
                      <w:szCs w:val="21"/>
                    </w:rPr>
                    <w:t>t/a</w:t>
                  </w:r>
                </w:p>
              </w:tc>
              <w:tc>
                <w:tcPr>
                  <w:tcW w:w="1276" w:type="dxa"/>
                  <w:vAlign w:val="center"/>
                </w:tcPr>
                <w:p>
                  <w:pPr>
                    <w:adjustRightInd w:val="0"/>
                    <w:snapToGrid w:val="0"/>
                    <w:jc w:val="center"/>
                    <w:rPr>
                      <w:bCs/>
                      <w:szCs w:val="21"/>
                    </w:rPr>
                  </w:pPr>
                  <w:r>
                    <w:rPr>
                      <w:bCs/>
                      <w:szCs w:val="21"/>
                    </w:rPr>
                    <w:t>1400</w:t>
                  </w:r>
                </w:p>
              </w:tc>
              <w:tc>
                <w:tcPr>
                  <w:tcW w:w="1417" w:type="dxa"/>
                  <w:vAlign w:val="center"/>
                </w:tcPr>
                <w:p>
                  <w:pPr>
                    <w:adjustRightInd w:val="0"/>
                    <w:snapToGrid w:val="0"/>
                    <w:jc w:val="center"/>
                    <w:rPr>
                      <w:bCs/>
                      <w:szCs w:val="21"/>
                    </w:rPr>
                  </w:pPr>
                  <w:r>
                    <w:rPr>
                      <w:bCs/>
                      <w:szCs w:val="21"/>
                    </w:rPr>
                    <w:t>2800</w:t>
                  </w:r>
                </w:p>
              </w:tc>
              <w:tc>
                <w:tcPr>
                  <w:tcW w:w="1276" w:type="dxa"/>
                  <w:vAlign w:val="center"/>
                </w:tcPr>
                <w:p>
                  <w:pPr>
                    <w:adjustRightInd w:val="0"/>
                    <w:snapToGrid w:val="0"/>
                    <w:jc w:val="center"/>
                    <w:rPr>
                      <w:bCs/>
                      <w:szCs w:val="21"/>
                    </w:rPr>
                  </w:pPr>
                  <w:r>
                    <w:rPr>
                      <w:bCs/>
                      <w:szCs w:val="21"/>
                    </w:rPr>
                    <w:t>4200</w:t>
                  </w:r>
                </w:p>
              </w:tc>
              <w:tc>
                <w:tcPr>
                  <w:tcW w:w="1741"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99" w:type="dxa"/>
                  <w:vAlign w:val="center"/>
                </w:tcPr>
                <w:p>
                  <w:pPr>
                    <w:adjustRightInd w:val="0"/>
                    <w:snapToGrid w:val="0"/>
                    <w:jc w:val="center"/>
                    <w:rPr>
                      <w:bCs/>
                      <w:szCs w:val="21"/>
                    </w:rPr>
                  </w:pPr>
                  <w:r>
                    <w:rPr>
                      <w:bCs/>
                      <w:szCs w:val="21"/>
                    </w:rPr>
                    <w:t>2</w:t>
                  </w:r>
                </w:p>
              </w:tc>
              <w:tc>
                <w:tcPr>
                  <w:tcW w:w="1113" w:type="dxa"/>
                  <w:vAlign w:val="center"/>
                </w:tcPr>
                <w:p>
                  <w:pPr>
                    <w:adjustRightInd w:val="0"/>
                    <w:snapToGrid w:val="0"/>
                    <w:jc w:val="center"/>
                    <w:rPr>
                      <w:bCs/>
                      <w:szCs w:val="21"/>
                    </w:rPr>
                  </w:pPr>
                  <w:r>
                    <w:rPr>
                      <w:bCs/>
                      <w:szCs w:val="21"/>
                    </w:rPr>
                    <w:t>天然气</w:t>
                  </w:r>
                </w:p>
              </w:tc>
              <w:tc>
                <w:tcPr>
                  <w:tcW w:w="992" w:type="dxa"/>
                  <w:vAlign w:val="center"/>
                </w:tcPr>
                <w:p>
                  <w:pPr>
                    <w:adjustRightInd w:val="0"/>
                    <w:snapToGrid w:val="0"/>
                    <w:jc w:val="center"/>
                    <w:rPr>
                      <w:bCs/>
                      <w:szCs w:val="21"/>
                    </w:rPr>
                  </w:pPr>
                  <w:r>
                    <w:rPr>
                      <w:bCs/>
                      <w:szCs w:val="21"/>
                    </w:rPr>
                    <w:t>万m</w:t>
                  </w:r>
                  <w:r>
                    <w:rPr>
                      <w:bCs/>
                      <w:szCs w:val="21"/>
                      <w:vertAlign w:val="superscript"/>
                    </w:rPr>
                    <w:t>3</w:t>
                  </w:r>
                  <w:r>
                    <w:rPr>
                      <w:bCs/>
                      <w:szCs w:val="21"/>
                    </w:rPr>
                    <w:t>/a</w:t>
                  </w:r>
                </w:p>
              </w:tc>
              <w:tc>
                <w:tcPr>
                  <w:tcW w:w="1276" w:type="dxa"/>
                  <w:vAlign w:val="center"/>
                </w:tcPr>
                <w:p>
                  <w:pPr>
                    <w:adjustRightInd w:val="0"/>
                    <w:snapToGrid w:val="0"/>
                    <w:jc w:val="center"/>
                    <w:rPr>
                      <w:bCs/>
                      <w:szCs w:val="21"/>
                    </w:rPr>
                  </w:pPr>
                  <w:r>
                    <w:rPr>
                      <w:bCs/>
                      <w:szCs w:val="21"/>
                    </w:rPr>
                    <w:t>10</w:t>
                  </w:r>
                </w:p>
              </w:tc>
              <w:tc>
                <w:tcPr>
                  <w:tcW w:w="1417" w:type="dxa"/>
                  <w:vAlign w:val="center"/>
                </w:tcPr>
                <w:p>
                  <w:pPr>
                    <w:adjustRightInd w:val="0"/>
                    <w:snapToGrid w:val="0"/>
                    <w:jc w:val="center"/>
                    <w:rPr>
                      <w:bCs/>
                      <w:szCs w:val="21"/>
                    </w:rPr>
                  </w:pPr>
                  <w:r>
                    <w:rPr>
                      <w:bCs/>
                      <w:szCs w:val="21"/>
                    </w:rPr>
                    <w:t>20</w:t>
                  </w:r>
                </w:p>
              </w:tc>
              <w:tc>
                <w:tcPr>
                  <w:tcW w:w="1276" w:type="dxa"/>
                  <w:vAlign w:val="center"/>
                </w:tcPr>
                <w:p>
                  <w:pPr>
                    <w:adjustRightInd w:val="0"/>
                    <w:snapToGrid w:val="0"/>
                    <w:jc w:val="center"/>
                    <w:rPr>
                      <w:bCs/>
                      <w:szCs w:val="21"/>
                    </w:rPr>
                  </w:pPr>
                  <w:r>
                    <w:rPr>
                      <w:bCs/>
                      <w:szCs w:val="21"/>
                    </w:rPr>
                    <w:t>30</w:t>
                  </w:r>
                </w:p>
              </w:tc>
              <w:tc>
                <w:tcPr>
                  <w:tcW w:w="1741" w:type="dxa"/>
                  <w:vAlign w:val="center"/>
                </w:tcPr>
                <w:p>
                  <w:pPr>
                    <w:adjustRightInd w:val="0"/>
                    <w:snapToGrid w:val="0"/>
                    <w:jc w:val="center"/>
                    <w:rPr>
                      <w:bCs/>
                      <w:szCs w:val="21"/>
                    </w:rPr>
                  </w:pPr>
                  <w:r>
                    <w:rPr>
                      <w:bCs/>
                      <w:szCs w:val="21"/>
                    </w:rPr>
                    <w:t>燃料由煤变为天然气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99" w:type="dxa"/>
                  <w:vAlign w:val="center"/>
                </w:tcPr>
                <w:p>
                  <w:pPr>
                    <w:adjustRightInd w:val="0"/>
                    <w:snapToGrid w:val="0"/>
                    <w:jc w:val="center"/>
                    <w:rPr>
                      <w:bCs/>
                      <w:szCs w:val="21"/>
                    </w:rPr>
                  </w:pPr>
                  <w:r>
                    <w:rPr>
                      <w:bCs/>
                      <w:szCs w:val="21"/>
                    </w:rPr>
                    <w:t>3</w:t>
                  </w:r>
                </w:p>
              </w:tc>
              <w:tc>
                <w:tcPr>
                  <w:tcW w:w="1113" w:type="dxa"/>
                  <w:vAlign w:val="center"/>
                </w:tcPr>
                <w:p>
                  <w:pPr>
                    <w:adjustRightInd w:val="0"/>
                    <w:snapToGrid w:val="0"/>
                    <w:jc w:val="center"/>
                    <w:rPr>
                      <w:bCs/>
                      <w:szCs w:val="21"/>
                    </w:rPr>
                  </w:pPr>
                  <w:r>
                    <w:rPr>
                      <w:bCs/>
                      <w:szCs w:val="21"/>
                    </w:rPr>
                    <w:t>水</w:t>
                  </w:r>
                </w:p>
              </w:tc>
              <w:tc>
                <w:tcPr>
                  <w:tcW w:w="992" w:type="dxa"/>
                  <w:vAlign w:val="center"/>
                </w:tcPr>
                <w:p>
                  <w:pPr>
                    <w:adjustRightInd w:val="0"/>
                    <w:snapToGrid w:val="0"/>
                    <w:jc w:val="center"/>
                    <w:rPr>
                      <w:bCs/>
                      <w:szCs w:val="21"/>
                    </w:rPr>
                  </w:pPr>
                  <w:r>
                    <w:rPr>
                      <w:bCs/>
                      <w:szCs w:val="21"/>
                    </w:rPr>
                    <w:t>m</w:t>
                  </w:r>
                  <w:r>
                    <w:rPr>
                      <w:bCs/>
                      <w:szCs w:val="21"/>
                      <w:vertAlign w:val="superscript"/>
                    </w:rPr>
                    <w:t>3</w:t>
                  </w:r>
                  <w:r>
                    <w:rPr>
                      <w:bCs/>
                      <w:szCs w:val="21"/>
                    </w:rPr>
                    <w:t>/a</w:t>
                  </w:r>
                </w:p>
              </w:tc>
              <w:tc>
                <w:tcPr>
                  <w:tcW w:w="1276" w:type="dxa"/>
                  <w:vAlign w:val="center"/>
                </w:tcPr>
                <w:p>
                  <w:pPr>
                    <w:adjustRightInd w:val="0"/>
                    <w:snapToGrid w:val="0"/>
                    <w:jc w:val="center"/>
                    <w:rPr>
                      <w:bCs/>
                      <w:szCs w:val="21"/>
                    </w:rPr>
                  </w:pPr>
                  <w:r>
                    <w:rPr>
                      <w:rFonts w:hint="eastAsia"/>
                      <w:bCs/>
                      <w:szCs w:val="21"/>
                    </w:rPr>
                    <w:t>276.73</w:t>
                  </w:r>
                </w:p>
              </w:tc>
              <w:tc>
                <w:tcPr>
                  <w:tcW w:w="1417" w:type="dxa"/>
                  <w:vAlign w:val="center"/>
                </w:tcPr>
                <w:p>
                  <w:pPr>
                    <w:adjustRightInd w:val="0"/>
                    <w:snapToGrid w:val="0"/>
                    <w:jc w:val="center"/>
                    <w:rPr>
                      <w:bCs/>
                      <w:szCs w:val="21"/>
                    </w:rPr>
                  </w:pPr>
                  <w:r>
                    <w:rPr>
                      <w:rFonts w:hint="eastAsia"/>
                      <w:bCs/>
                      <w:szCs w:val="21"/>
                    </w:rPr>
                    <w:t>140.17</w:t>
                  </w:r>
                </w:p>
              </w:tc>
              <w:tc>
                <w:tcPr>
                  <w:tcW w:w="1276" w:type="dxa"/>
                  <w:vAlign w:val="center"/>
                </w:tcPr>
                <w:p>
                  <w:pPr>
                    <w:adjustRightInd w:val="0"/>
                    <w:snapToGrid w:val="0"/>
                    <w:jc w:val="center"/>
                    <w:rPr>
                      <w:bCs/>
                      <w:szCs w:val="21"/>
                    </w:rPr>
                  </w:pPr>
                  <w:r>
                    <w:rPr>
                      <w:rFonts w:hint="eastAsia"/>
                      <w:bCs/>
                      <w:szCs w:val="21"/>
                    </w:rPr>
                    <w:t>416.9</w:t>
                  </w:r>
                </w:p>
              </w:tc>
              <w:tc>
                <w:tcPr>
                  <w:tcW w:w="1741"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99" w:type="dxa"/>
                  <w:vAlign w:val="center"/>
                </w:tcPr>
                <w:p>
                  <w:pPr>
                    <w:adjustRightInd w:val="0"/>
                    <w:snapToGrid w:val="0"/>
                    <w:jc w:val="center"/>
                    <w:rPr>
                      <w:bCs/>
                      <w:szCs w:val="21"/>
                    </w:rPr>
                  </w:pPr>
                  <w:r>
                    <w:rPr>
                      <w:bCs/>
                      <w:szCs w:val="21"/>
                    </w:rPr>
                    <w:t>4</w:t>
                  </w:r>
                </w:p>
              </w:tc>
              <w:tc>
                <w:tcPr>
                  <w:tcW w:w="1113" w:type="dxa"/>
                  <w:vAlign w:val="center"/>
                </w:tcPr>
                <w:p>
                  <w:pPr>
                    <w:adjustRightInd w:val="0"/>
                    <w:snapToGrid w:val="0"/>
                    <w:jc w:val="center"/>
                    <w:rPr>
                      <w:bCs/>
                      <w:szCs w:val="21"/>
                    </w:rPr>
                  </w:pPr>
                  <w:r>
                    <w:rPr>
                      <w:bCs/>
                      <w:szCs w:val="21"/>
                    </w:rPr>
                    <w:t>电</w:t>
                  </w:r>
                </w:p>
              </w:tc>
              <w:tc>
                <w:tcPr>
                  <w:tcW w:w="992" w:type="dxa"/>
                  <w:vAlign w:val="center"/>
                </w:tcPr>
                <w:p>
                  <w:pPr>
                    <w:adjustRightInd w:val="0"/>
                    <w:snapToGrid w:val="0"/>
                    <w:jc w:val="center"/>
                    <w:rPr>
                      <w:bCs/>
                      <w:szCs w:val="21"/>
                    </w:rPr>
                  </w:pPr>
                  <w:r>
                    <w:rPr>
                      <w:bCs/>
                      <w:szCs w:val="21"/>
                    </w:rPr>
                    <w:t>kWh/a</w:t>
                  </w:r>
                </w:p>
              </w:tc>
              <w:tc>
                <w:tcPr>
                  <w:tcW w:w="1276" w:type="dxa"/>
                  <w:vAlign w:val="center"/>
                </w:tcPr>
                <w:p>
                  <w:pPr>
                    <w:adjustRightInd w:val="0"/>
                    <w:snapToGrid w:val="0"/>
                    <w:jc w:val="center"/>
                    <w:rPr>
                      <w:bCs/>
                      <w:szCs w:val="21"/>
                    </w:rPr>
                  </w:pPr>
                  <w:r>
                    <w:rPr>
                      <w:bCs/>
                      <w:szCs w:val="21"/>
                    </w:rPr>
                    <w:t>7.5×10</w:t>
                  </w:r>
                  <w:r>
                    <w:rPr>
                      <w:bCs/>
                      <w:szCs w:val="21"/>
                      <w:vertAlign w:val="superscript"/>
                    </w:rPr>
                    <w:t>4</w:t>
                  </w:r>
                </w:p>
              </w:tc>
              <w:tc>
                <w:tcPr>
                  <w:tcW w:w="1417" w:type="dxa"/>
                  <w:vAlign w:val="center"/>
                </w:tcPr>
                <w:p>
                  <w:pPr>
                    <w:adjustRightInd w:val="0"/>
                    <w:snapToGrid w:val="0"/>
                    <w:jc w:val="center"/>
                    <w:rPr>
                      <w:bCs/>
                      <w:szCs w:val="21"/>
                    </w:rPr>
                  </w:pPr>
                  <w:r>
                    <w:rPr>
                      <w:bCs/>
                      <w:szCs w:val="21"/>
                    </w:rPr>
                    <w:t>16..5×10</w:t>
                  </w:r>
                  <w:r>
                    <w:rPr>
                      <w:bCs/>
                      <w:szCs w:val="21"/>
                      <w:vertAlign w:val="superscript"/>
                    </w:rPr>
                    <w:t>4</w:t>
                  </w:r>
                </w:p>
              </w:tc>
              <w:tc>
                <w:tcPr>
                  <w:tcW w:w="1276" w:type="dxa"/>
                  <w:vAlign w:val="center"/>
                </w:tcPr>
                <w:p>
                  <w:pPr>
                    <w:adjustRightInd w:val="0"/>
                    <w:snapToGrid w:val="0"/>
                    <w:jc w:val="center"/>
                    <w:rPr>
                      <w:bCs/>
                      <w:szCs w:val="21"/>
                    </w:rPr>
                  </w:pPr>
                  <w:r>
                    <w:rPr>
                      <w:bCs/>
                      <w:szCs w:val="21"/>
                    </w:rPr>
                    <w:t>24×10</w:t>
                  </w:r>
                  <w:r>
                    <w:rPr>
                      <w:bCs/>
                      <w:szCs w:val="21"/>
                      <w:vertAlign w:val="superscript"/>
                    </w:rPr>
                    <w:t>4</w:t>
                  </w:r>
                </w:p>
              </w:tc>
              <w:tc>
                <w:tcPr>
                  <w:tcW w:w="1741"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99" w:type="dxa"/>
                  <w:vAlign w:val="center"/>
                </w:tcPr>
                <w:p>
                  <w:pPr>
                    <w:adjustRightInd w:val="0"/>
                    <w:snapToGrid w:val="0"/>
                    <w:jc w:val="center"/>
                    <w:rPr>
                      <w:bCs/>
                      <w:szCs w:val="21"/>
                    </w:rPr>
                  </w:pPr>
                  <w:r>
                    <w:rPr>
                      <w:bCs/>
                      <w:szCs w:val="21"/>
                    </w:rPr>
                    <w:t>5</w:t>
                  </w:r>
                </w:p>
              </w:tc>
              <w:tc>
                <w:tcPr>
                  <w:tcW w:w="1113" w:type="dxa"/>
                  <w:vAlign w:val="center"/>
                </w:tcPr>
                <w:p>
                  <w:pPr>
                    <w:adjustRightInd w:val="0"/>
                    <w:snapToGrid w:val="0"/>
                    <w:jc w:val="center"/>
                    <w:rPr>
                      <w:bCs/>
                      <w:szCs w:val="21"/>
                    </w:rPr>
                  </w:pPr>
                  <w:r>
                    <w:rPr>
                      <w:bCs/>
                      <w:szCs w:val="21"/>
                    </w:rPr>
                    <w:t>机油</w:t>
                  </w:r>
                </w:p>
              </w:tc>
              <w:tc>
                <w:tcPr>
                  <w:tcW w:w="992" w:type="dxa"/>
                  <w:vAlign w:val="center"/>
                </w:tcPr>
                <w:p>
                  <w:pPr>
                    <w:adjustRightInd w:val="0"/>
                    <w:snapToGrid w:val="0"/>
                    <w:jc w:val="center"/>
                    <w:rPr>
                      <w:bCs/>
                      <w:szCs w:val="21"/>
                    </w:rPr>
                  </w:pPr>
                  <w:r>
                    <w:rPr>
                      <w:bCs/>
                      <w:szCs w:val="21"/>
                    </w:rPr>
                    <w:t>t/a</w:t>
                  </w:r>
                </w:p>
              </w:tc>
              <w:tc>
                <w:tcPr>
                  <w:tcW w:w="1276" w:type="dxa"/>
                  <w:vAlign w:val="center"/>
                </w:tcPr>
                <w:p>
                  <w:pPr>
                    <w:adjustRightInd w:val="0"/>
                    <w:snapToGrid w:val="0"/>
                    <w:jc w:val="center"/>
                    <w:rPr>
                      <w:bCs/>
                      <w:szCs w:val="21"/>
                    </w:rPr>
                  </w:pPr>
                  <w:r>
                    <w:rPr>
                      <w:bCs/>
                      <w:szCs w:val="21"/>
                    </w:rPr>
                    <w:t>0.1</w:t>
                  </w:r>
                </w:p>
              </w:tc>
              <w:tc>
                <w:tcPr>
                  <w:tcW w:w="1417" w:type="dxa"/>
                  <w:vAlign w:val="center"/>
                </w:tcPr>
                <w:p>
                  <w:pPr>
                    <w:adjustRightInd w:val="0"/>
                    <w:snapToGrid w:val="0"/>
                    <w:jc w:val="center"/>
                    <w:rPr>
                      <w:bCs/>
                      <w:szCs w:val="21"/>
                    </w:rPr>
                  </w:pPr>
                  <w:r>
                    <w:rPr>
                      <w:bCs/>
                      <w:szCs w:val="21"/>
                    </w:rPr>
                    <w:t>0.2</w:t>
                  </w:r>
                </w:p>
              </w:tc>
              <w:tc>
                <w:tcPr>
                  <w:tcW w:w="1276" w:type="dxa"/>
                  <w:vAlign w:val="center"/>
                </w:tcPr>
                <w:p>
                  <w:pPr>
                    <w:adjustRightInd w:val="0"/>
                    <w:snapToGrid w:val="0"/>
                    <w:jc w:val="center"/>
                    <w:rPr>
                      <w:bCs/>
                      <w:szCs w:val="21"/>
                    </w:rPr>
                  </w:pPr>
                  <w:r>
                    <w:rPr>
                      <w:bCs/>
                      <w:szCs w:val="21"/>
                    </w:rPr>
                    <w:t>0.3</w:t>
                  </w:r>
                </w:p>
              </w:tc>
              <w:tc>
                <w:tcPr>
                  <w:tcW w:w="1741"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99" w:type="dxa"/>
                  <w:vAlign w:val="center"/>
                </w:tcPr>
                <w:p>
                  <w:pPr>
                    <w:adjustRightInd w:val="0"/>
                    <w:snapToGrid w:val="0"/>
                    <w:jc w:val="center"/>
                    <w:rPr>
                      <w:bCs/>
                      <w:szCs w:val="21"/>
                    </w:rPr>
                  </w:pPr>
                  <w:r>
                    <w:rPr>
                      <w:bCs/>
                      <w:szCs w:val="21"/>
                    </w:rPr>
                    <w:t>6</w:t>
                  </w:r>
                </w:p>
              </w:tc>
              <w:tc>
                <w:tcPr>
                  <w:tcW w:w="1113" w:type="dxa"/>
                  <w:vAlign w:val="center"/>
                </w:tcPr>
                <w:p>
                  <w:pPr>
                    <w:adjustRightInd w:val="0"/>
                    <w:snapToGrid w:val="0"/>
                    <w:jc w:val="center"/>
                    <w:rPr>
                      <w:bCs/>
                      <w:szCs w:val="21"/>
                    </w:rPr>
                  </w:pPr>
                  <w:r>
                    <w:rPr>
                      <w:bCs/>
                      <w:szCs w:val="21"/>
                    </w:rPr>
                    <w:t>乳化液</w:t>
                  </w:r>
                </w:p>
              </w:tc>
              <w:tc>
                <w:tcPr>
                  <w:tcW w:w="992" w:type="dxa"/>
                  <w:vAlign w:val="center"/>
                </w:tcPr>
                <w:p>
                  <w:pPr>
                    <w:adjustRightInd w:val="0"/>
                    <w:snapToGrid w:val="0"/>
                    <w:jc w:val="center"/>
                    <w:rPr>
                      <w:bCs/>
                      <w:szCs w:val="21"/>
                    </w:rPr>
                  </w:pPr>
                  <w:r>
                    <w:rPr>
                      <w:bCs/>
                      <w:szCs w:val="21"/>
                    </w:rPr>
                    <w:t>t/a</w:t>
                  </w:r>
                </w:p>
              </w:tc>
              <w:tc>
                <w:tcPr>
                  <w:tcW w:w="1276" w:type="dxa"/>
                  <w:vAlign w:val="center"/>
                </w:tcPr>
                <w:p>
                  <w:pPr>
                    <w:adjustRightInd w:val="0"/>
                    <w:snapToGrid w:val="0"/>
                    <w:jc w:val="center"/>
                    <w:rPr>
                      <w:bCs/>
                      <w:szCs w:val="21"/>
                    </w:rPr>
                  </w:pPr>
                  <w:r>
                    <w:rPr>
                      <w:bCs/>
                      <w:szCs w:val="21"/>
                    </w:rPr>
                    <w:t>0.1</w:t>
                  </w:r>
                </w:p>
              </w:tc>
              <w:tc>
                <w:tcPr>
                  <w:tcW w:w="1417" w:type="dxa"/>
                  <w:vAlign w:val="center"/>
                </w:tcPr>
                <w:p>
                  <w:pPr>
                    <w:adjustRightInd w:val="0"/>
                    <w:snapToGrid w:val="0"/>
                    <w:jc w:val="center"/>
                    <w:rPr>
                      <w:bCs/>
                      <w:szCs w:val="21"/>
                    </w:rPr>
                  </w:pPr>
                  <w:r>
                    <w:rPr>
                      <w:bCs/>
                      <w:szCs w:val="21"/>
                    </w:rPr>
                    <w:t>0.2</w:t>
                  </w:r>
                </w:p>
              </w:tc>
              <w:tc>
                <w:tcPr>
                  <w:tcW w:w="1276" w:type="dxa"/>
                  <w:vAlign w:val="center"/>
                </w:tcPr>
                <w:p>
                  <w:pPr>
                    <w:adjustRightInd w:val="0"/>
                    <w:snapToGrid w:val="0"/>
                    <w:jc w:val="center"/>
                    <w:rPr>
                      <w:bCs/>
                      <w:szCs w:val="21"/>
                    </w:rPr>
                  </w:pPr>
                  <w:r>
                    <w:rPr>
                      <w:bCs/>
                      <w:szCs w:val="21"/>
                    </w:rPr>
                    <w:t>0.3</w:t>
                  </w:r>
                </w:p>
              </w:tc>
              <w:tc>
                <w:tcPr>
                  <w:tcW w:w="1741"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99" w:type="dxa"/>
                  <w:vAlign w:val="center"/>
                </w:tcPr>
                <w:p>
                  <w:pPr>
                    <w:adjustRightInd w:val="0"/>
                    <w:snapToGrid w:val="0"/>
                    <w:jc w:val="center"/>
                    <w:rPr>
                      <w:bCs/>
                      <w:szCs w:val="21"/>
                    </w:rPr>
                  </w:pPr>
                  <w:r>
                    <w:rPr>
                      <w:bCs/>
                      <w:szCs w:val="21"/>
                    </w:rPr>
                    <w:t>7</w:t>
                  </w:r>
                </w:p>
              </w:tc>
              <w:tc>
                <w:tcPr>
                  <w:tcW w:w="1113" w:type="dxa"/>
                  <w:vAlign w:val="center"/>
                </w:tcPr>
                <w:p>
                  <w:pPr>
                    <w:adjustRightInd w:val="0"/>
                    <w:snapToGrid w:val="0"/>
                    <w:jc w:val="center"/>
                    <w:rPr>
                      <w:bCs/>
                      <w:szCs w:val="21"/>
                    </w:rPr>
                  </w:pPr>
                  <w:r>
                    <w:rPr>
                      <w:rFonts w:hint="eastAsia"/>
                      <w:bCs/>
                      <w:szCs w:val="21"/>
                    </w:rPr>
                    <w:t>尿素</w:t>
                  </w:r>
                </w:p>
              </w:tc>
              <w:tc>
                <w:tcPr>
                  <w:tcW w:w="992" w:type="dxa"/>
                  <w:vAlign w:val="center"/>
                </w:tcPr>
                <w:p>
                  <w:pPr>
                    <w:adjustRightInd w:val="0"/>
                    <w:snapToGrid w:val="0"/>
                    <w:jc w:val="center"/>
                    <w:rPr>
                      <w:bCs/>
                      <w:szCs w:val="21"/>
                    </w:rPr>
                  </w:pPr>
                  <w:r>
                    <w:rPr>
                      <w:bCs/>
                      <w:szCs w:val="21"/>
                    </w:rPr>
                    <w:t>t/a</w:t>
                  </w:r>
                </w:p>
              </w:tc>
              <w:tc>
                <w:tcPr>
                  <w:tcW w:w="1276" w:type="dxa"/>
                  <w:vAlign w:val="center"/>
                </w:tcPr>
                <w:p>
                  <w:pPr>
                    <w:adjustRightInd w:val="0"/>
                    <w:snapToGrid w:val="0"/>
                    <w:jc w:val="center"/>
                    <w:rPr>
                      <w:bCs/>
                      <w:szCs w:val="21"/>
                    </w:rPr>
                  </w:pPr>
                  <w:r>
                    <w:rPr>
                      <w:rFonts w:hint="eastAsia"/>
                      <w:bCs/>
                      <w:szCs w:val="21"/>
                    </w:rPr>
                    <w:t>1.61</w:t>
                  </w:r>
                </w:p>
              </w:tc>
              <w:tc>
                <w:tcPr>
                  <w:tcW w:w="1417" w:type="dxa"/>
                  <w:vAlign w:val="center"/>
                </w:tcPr>
                <w:p>
                  <w:pPr>
                    <w:adjustRightInd w:val="0"/>
                    <w:snapToGrid w:val="0"/>
                    <w:jc w:val="center"/>
                    <w:rPr>
                      <w:bCs/>
                      <w:szCs w:val="21"/>
                    </w:rPr>
                  </w:pPr>
                  <w:r>
                    <w:rPr>
                      <w:rFonts w:hint="eastAsia"/>
                      <w:bCs/>
                      <w:szCs w:val="21"/>
                    </w:rPr>
                    <w:t>2.15</w:t>
                  </w:r>
                </w:p>
              </w:tc>
              <w:tc>
                <w:tcPr>
                  <w:tcW w:w="1276" w:type="dxa"/>
                  <w:vAlign w:val="center"/>
                </w:tcPr>
                <w:p>
                  <w:pPr>
                    <w:adjustRightInd w:val="0"/>
                    <w:snapToGrid w:val="0"/>
                    <w:jc w:val="center"/>
                    <w:rPr>
                      <w:bCs/>
                      <w:szCs w:val="21"/>
                    </w:rPr>
                  </w:pPr>
                  <w:r>
                    <w:rPr>
                      <w:rFonts w:hint="eastAsia"/>
                      <w:bCs/>
                      <w:szCs w:val="21"/>
                    </w:rPr>
                    <w:t>3.76</w:t>
                  </w:r>
                </w:p>
              </w:tc>
              <w:tc>
                <w:tcPr>
                  <w:tcW w:w="1741" w:type="dxa"/>
                  <w:vAlign w:val="center"/>
                </w:tcPr>
                <w:p>
                  <w:pPr>
                    <w:adjustRightInd w:val="0"/>
                    <w:snapToGrid w:val="0"/>
                    <w:jc w:val="center"/>
                    <w:rPr>
                      <w:bCs/>
                      <w:szCs w:val="21"/>
                    </w:rPr>
                  </w:pPr>
                  <w:r>
                    <w:rPr>
                      <w:bCs/>
                      <w:szCs w:val="21"/>
                    </w:rPr>
                    <w:t>外购固体尿素，现配现用</w:t>
                  </w:r>
                </w:p>
              </w:tc>
            </w:tr>
          </w:tbl>
          <w:p>
            <w:pPr>
              <w:adjustRightInd w:val="0"/>
              <w:snapToGrid w:val="0"/>
              <w:spacing w:line="360" w:lineRule="auto"/>
              <w:ind w:firstLine="482" w:firstLineChars="200"/>
              <w:rPr>
                <w:b/>
                <w:sz w:val="24"/>
              </w:rPr>
            </w:pPr>
            <w:r>
              <w:rPr>
                <w:b/>
                <w:sz w:val="24"/>
              </w:rPr>
              <w:t>6、工作制度及劳动定员</w:t>
            </w:r>
          </w:p>
          <w:p>
            <w:pPr>
              <w:adjustRightInd w:val="0"/>
              <w:snapToGrid w:val="0"/>
              <w:spacing w:line="360" w:lineRule="auto"/>
              <w:ind w:firstLine="480" w:firstLineChars="200"/>
              <w:rPr>
                <w:bCs/>
                <w:sz w:val="24"/>
              </w:rPr>
            </w:pPr>
            <w:r>
              <w:rPr>
                <w:bCs/>
                <w:sz w:val="24"/>
              </w:rPr>
              <w:t>本项目一期工程年工作时间</w:t>
            </w:r>
            <w:r>
              <w:rPr>
                <w:rFonts w:hint="eastAsia"/>
                <w:bCs/>
                <w:sz w:val="24"/>
              </w:rPr>
              <w:t>30</w:t>
            </w:r>
            <w:r>
              <w:rPr>
                <w:bCs/>
                <w:sz w:val="24"/>
              </w:rPr>
              <w:t>0天，每天一班，每班</w:t>
            </w:r>
            <w:r>
              <w:rPr>
                <w:rFonts w:hint="eastAsia"/>
                <w:bCs/>
                <w:sz w:val="24"/>
              </w:rPr>
              <w:t>6</w:t>
            </w:r>
            <w:r>
              <w:rPr>
                <w:bCs/>
                <w:sz w:val="24"/>
              </w:rPr>
              <w:t>小时，劳动定员15人。二期工程年工作时间300天，每天一班，每班8小时，劳动定员30人。</w:t>
            </w:r>
          </w:p>
          <w:p>
            <w:pPr>
              <w:adjustRightInd w:val="0"/>
              <w:snapToGrid w:val="0"/>
              <w:spacing w:line="360" w:lineRule="auto"/>
              <w:ind w:firstLine="482" w:firstLineChars="200"/>
              <w:rPr>
                <w:b/>
                <w:sz w:val="24"/>
              </w:rPr>
            </w:pPr>
            <w:r>
              <w:rPr>
                <w:b/>
                <w:sz w:val="24"/>
              </w:rPr>
              <w:t>7、公用工程</w:t>
            </w:r>
          </w:p>
          <w:p>
            <w:pPr>
              <w:adjustRightInd w:val="0"/>
              <w:snapToGrid w:val="0"/>
              <w:spacing w:line="360" w:lineRule="auto"/>
              <w:ind w:firstLine="480" w:firstLineChars="200"/>
              <w:rPr>
                <w:bCs/>
                <w:sz w:val="24"/>
              </w:rPr>
            </w:pPr>
            <w:r>
              <w:rPr>
                <w:bCs/>
                <w:sz w:val="24"/>
              </w:rPr>
              <w:t>（1）一期工程</w:t>
            </w:r>
          </w:p>
          <w:p>
            <w:pPr>
              <w:adjustRightInd w:val="0"/>
              <w:snapToGrid w:val="0"/>
              <w:spacing w:line="360" w:lineRule="auto"/>
              <w:ind w:firstLine="480" w:firstLineChars="200"/>
              <w:rPr>
                <w:bCs/>
                <w:sz w:val="24"/>
              </w:rPr>
            </w:pPr>
            <w:r>
              <w:rPr>
                <w:bCs/>
                <w:sz w:val="24"/>
              </w:rPr>
              <w:t>1）给水</w:t>
            </w:r>
          </w:p>
          <w:p>
            <w:pPr>
              <w:adjustRightInd w:val="0"/>
              <w:snapToGrid w:val="0"/>
              <w:spacing w:line="360" w:lineRule="auto"/>
              <w:ind w:firstLine="480" w:firstLineChars="200"/>
              <w:rPr>
                <w:bCs/>
                <w:sz w:val="24"/>
              </w:rPr>
            </w:pPr>
            <w:r>
              <w:rPr>
                <w:bCs/>
                <w:sz w:val="24"/>
              </w:rPr>
              <w:t>项目生产和生活用水均来自留晖工业聚集区自来水管网供水，可满足本工程用水量需求。</w:t>
            </w:r>
          </w:p>
          <w:p>
            <w:pPr>
              <w:adjustRightInd w:val="0"/>
              <w:snapToGrid w:val="0"/>
              <w:spacing w:line="360" w:lineRule="auto"/>
              <w:ind w:firstLine="480" w:firstLineChars="200"/>
              <w:rPr>
                <w:bCs/>
                <w:sz w:val="24"/>
              </w:rPr>
            </w:pPr>
            <w:r>
              <w:rPr>
                <w:rFonts w:hint="eastAsia" w:ascii="宋体" w:hAnsi="宋体" w:cs="宋体"/>
                <w:bCs/>
                <w:sz w:val="24"/>
              </w:rPr>
              <w:t>①</w:t>
            </w:r>
            <w:r>
              <w:rPr>
                <w:bCs/>
                <w:sz w:val="24"/>
              </w:rPr>
              <w:t>生产用水</w:t>
            </w:r>
          </w:p>
          <w:p>
            <w:pPr>
              <w:adjustRightInd w:val="0"/>
              <w:snapToGrid w:val="0"/>
              <w:spacing w:line="360" w:lineRule="auto"/>
              <w:ind w:firstLine="480" w:firstLineChars="200"/>
              <w:rPr>
                <w:bCs/>
                <w:sz w:val="24"/>
              </w:rPr>
            </w:pPr>
            <w:r>
              <w:rPr>
                <w:bCs/>
                <w:sz w:val="24"/>
              </w:rPr>
              <w:t>本项目生产用水主要为乳化液</w:t>
            </w:r>
            <w:r>
              <w:rPr>
                <w:rFonts w:hint="eastAsia"/>
                <w:bCs/>
                <w:sz w:val="24"/>
              </w:rPr>
              <w:t>和尿素</w:t>
            </w:r>
            <w:r>
              <w:rPr>
                <w:bCs/>
                <w:sz w:val="24"/>
              </w:rPr>
              <w:t>配比用水。</w:t>
            </w:r>
          </w:p>
          <w:p>
            <w:pPr>
              <w:adjustRightInd w:val="0"/>
              <w:snapToGrid w:val="0"/>
              <w:spacing w:line="360" w:lineRule="auto"/>
              <w:ind w:firstLine="480" w:firstLineChars="200"/>
              <w:rPr>
                <w:bCs/>
                <w:sz w:val="24"/>
              </w:rPr>
            </w:pPr>
            <w:r>
              <w:rPr>
                <w:bCs/>
                <w:sz w:val="24"/>
              </w:rPr>
              <w:t>根据项目生产工艺，乳化液与水的配比比例为乳化液：水=1:3，乳化液年用量为100kg/a，则乳化液配比用水量为0.001m</w:t>
            </w:r>
            <w:r>
              <w:rPr>
                <w:bCs/>
                <w:sz w:val="24"/>
                <w:vertAlign w:val="superscript"/>
              </w:rPr>
              <w:t>3</w:t>
            </w:r>
            <w:r>
              <w:rPr>
                <w:bCs/>
                <w:sz w:val="24"/>
              </w:rPr>
              <w:t>/d（0.3m</w:t>
            </w:r>
            <w:r>
              <w:rPr>
                <w:bCs/>
                <w:sz w:val="24"/>
                <w:vertAlign w:val="superscript"/>
              </w:rPr>
              <w:t>3</w:t>
            </w:r>
            <w:r>
              <w:rPr>
                <w:bCs/>
                <w:sz w:val="24"/>
              </w:rPr>
              <w:t>/a）。</w:t>
            </w:r>
          </w:p>
          <w:p>
            <w:pPr>
              <w:adjustRightInd w:val="0"/>
              <w:snapToGrid w:val="0"/>
              <w:spacing w:line="360" w:lineRule="auto"/>
              <w:ind w:firstLine="480" w:firstLineChars="200"/>
              <w:rPr>
                <w:bCs/>
                <w:sz w:val="24"/>
              </w:rPr>
            </w:pPr>
            <w:r>
              <w:rPr>
                <w:bCs/>
                <w:sz w:val="24"/>
              </w:rPr>
              <w:t>尿素用量为</w:t>
            </w:r>
            <w:r>
              <w:rPr>
                <w:rFonts w:hint="eastAsia"/>
                <w:bCs/>
                <w:sz w:val="24"/>
              </w:rPr>
              <w:t>1.61t/a，配比用水为3.43m</w:t>
            </w:r>
            <w:r>
              <w:rPr>
                <w:rFonts w:hint="eastAsia"/>
                <w:bCs/>
                <w:sz w:val="24"/>
                <w:vertAlign w:val="superscript"/>
              </w:rPr>
              <w:t>3</w:t>
            </w:r>
            <w:r>
              <w:rPr>
                <w:rFonts w:hint="eastAsia"/>
                <w:bCs/>
                <w:sz w:val="24"/>
              </w:rPr>
              <w:t>/a（0.011m</w:t>
            </w:r>
            <w:r>
              <w:rPr>
                <w:rFonts w:hint="eastAsia"/>
                <w:bCs/>
                <w:sz w:val="24"/>
                <w:vertAlign w:val="superscript"/>
              </w:rPr>
              <w:t>3</w:t>
            </w:r>
            <w:r>
              <w:rPr>
                <w:rFonts w:hint="eastAsia"/>
                <w:bCs/>
                <w:sz w:val="24"/>
              </w:rPr>
              <w:t>/d）。</w:t>
            </w:r>
          </w:p>
          <w:p>
            <w:pPr>
              <w:adjustRightInd w:val="0"/>
              <w:snapToGrid w:val="0"/>
              <w:spacing w:line="360" w:lineRule="auto"/>
              <w:ind w:firstLine="480" w:firstLineChars="200"/>
              <w:rPr>
                <w:bCs/>
                <w:sz w:val="24"/>
              </w:rPr>
            </w:pPr>
            <w:r>
              <w:rPr>
                <w:rFonts w:hint="eastAsia" w:ascii="宋体" w:hAnsi="宋体" w:cs="宋体"/>
                <w:bCs/>
                <w:sz w:val="24"/>
              </w:rPr>
              <w:t>②</w:t>
            </w:r>
            <w:r>
              <w:rPr>
                <w:bCs/>
                <w:sz w:val="24"/>
              </w:rPr>
              <w:t>职工生活用水</w:t>
            </w:r>
          </w:p>
          <w:p>
            <w:pPr>
              <w:adjustRightInd w:val="0"/>
              <w:snapToGrid w:val="0"/>
              <w:spacing w:line="360" w:lineRule="auto"/>
              <w:ind w:firstLine="480" w:firstLineChars="200"/>
              <w:rPr>
                <w:sz w:val="24"/>
                <w:szCs w:val="32"/>
              </w:rPr>
            </w:pPr>
            <w:r>
              <w:rPr>
                <w:sz w:val="24"/>
                <w:szCs w:val="32"/>
              </w:rPr>
              <w:t>本项目一期工程工程共有15名员工，职工生活用水主要为洗漱用水，年工作日为</w:t>
            </w:r>
            <w:r>
              <w:rPr>
                <w:rFonts w:hint="eastAsia"/>
                <w:sz w:val="24"/>
                <w:szCs w:val="32"/>
              </w:rPr>
              <w:t>300</w:t>
            </w:r>
            <w:r>
              <w:rPr>
                <w:sz w:val="24"/>
                <w:szCs w:val="32"/>
              </w:rPr>
              <w:t>d，本次参照山西省质量技术监督局关于印发《山西省用水定额》（DB14/T 1048.3-202</w:t>
            </w:r>
            <w:r>
              <w:rPr>
                <w:rFonts w:hint="eastAsia"/>
                <w:sz w:val="24"/>
                <w:szCs w:val="32"/>
              </w:rPr>
              <w:t>1</w:t>
            </w:r>
            <w:r>
              <w:rPr>
                <w:sz w:val="24"/>
                <w:szCs w:val="32"/>
              </w:rPr>
              <w:t>）中的第3部分城镇生活用水定额，农村居民生活用水定额：通用值不大于70L/人·d，因厂区使用旱厕，故本次评价用水定额取30L/人·d，则职工生活用水量为0.45m</w:t>
            </w:r>
            <w:r>
              <w:rPr>
                <w:sz w:val="24"/>
                <w:szCs w:val="32"/>
                <w:vertAlign w:val="superscript"/>
              </w:rPr>
              <w:t>3</w:t>
            </w:r>
            <w:r>
              <w:rPr>
                <w:sz w:val="24"/>
                <w:szCs w:val="32"/>
              </w:rPr>
              <w:t>/d（</w:t>
            </w:r>
            <w:r>
              <w:rPr>
                <w:rFonts w:hint="eastAsia"/>
                <w:sz w:val="24"/>
                <w:szCs w:val="32"/>
              </w:rPr>
              <w:t>135</w:t>
            </w:r>
            <w:r>
              <w:rPr>
                <w:sz w:val="24"/>
                <w:szCs w:val="32"/>
              </w:rPr>
              <w:t>m</w:t>
            </w:r>
            <w:r>
              <w:rPr>
                <w:sz w:val="24"/>
                <w:szCs w:val="32"/>
                <w:vertAlign w:val="superscript"/>
              </w:rPr>
              <w:t>3</w:t>
            </w:r>
            <w:r>
              <w:rPr>
                <w:sz w:val="24"/>
                <w:szCs w:val="32"/>
              </w:rPr>
              <w:t>/a）。</w:t>
            </w:r>
          </w:p>
          <w:p>
            <w:pPr>
              <w:adjustRightInd w:val="0"/>
              <w:snapToGrid w:val="0"/>
              <w:spacing w:line="360" w:lineRule="auto"/>
              <w:ind w:firstLine="480" w:firstLineChars="200"/>
              <w:rPr>
                <w:bCs/>
                <w:sz w:val="24"/>
              </w:rPr>
            </w:pPr>
            <w:r>
              <w:rPr>
                <w:rFonts w:hint="eastAsia" w:ascii="宋体" w:hAnsi="宋体" w:cs="宋体"/>
                <w:bCs/>
                <w:sz w:val="24"/>
              </w:rPr>
              <w:t>③</w:t>
            </w:r>
            <w:r>
              <w:rPr>
                <w:bCs/>
                <w:sz w:val="24"/>
              </w:rPr>
              <w:t>道路洒水</w:t>
            </w:r>
          </w:p>
          <w:p>
            <w:pPr>
              <w:adjustRightInd w:val="0"/>
              <w:snapToGrid w:val="0"/>
              <w:spacing w:line="360" w:lineRule="auto"/>
              <w:ind w:firstLine="480" w:firstLineChars="200"/>
              <w:rPr>
                <w:bCs/>
                <w:sz w:val="24"/>
              </w:rPr>
            </w:pPr>
            <w:r>
              <w:rPr>
                <w:bCs/>
                <w:sz w:val="24"/>
              </w:rPr>
              <w:t>本项目道路约为500m</w:t>
            </w:r>
            <w:r>
              <w:rPr>
                <w:bCs/>
                <w:sz w:val="24"/>
                <w:vertAlign w:val="superscript"/>
              </w:rPr>
              <w:t>2</w:t>
            </w:r>
            <w:r>
              <w:rPr>
                <w:bCs/>
                <w:sz w:val="24"/>
              </w:rPr>
              <w:t>，道路洒水量按1.0L/（m</w:t>
            </w:r>
            <w:r>
              <w:rPr>
                <w:bCs/>
                <w:sz w:val="24"/>
                <w:vertAlign w:val="superscript"/>
              </w:rPr>
              <w:t>2</w:t>
            </w:r>
            <w:r>
              <w:rPr>
                <w:bCs/>
                <w:sz w:val="24"/>
              </w:rPr>
              <w:t>·d）计，则道路洒水量为0.5m</w:t>
            </w:r>
            <w:r>
              <w:rPr>
                <w:bCs/>
                <w:sz w:val="24"/>
                <w:vertAlign w:val="superscript"/>
              </w:rPr>
              <w:t>3</w:t>
            </w:r>
            <w:r>
              <w:rPr>
                <w:bCs/>
                <w:sz w:val="24"/>
              </w:rPr>
              <w:t>/d，则年用水量为</w:t>
            </w:r>
            <w:r>
              <w:rPr>
                <w:rFonts w:hint="eastAsia"/>
                <w:bCs/>
                <w:sz w:val="24"/>
              </w:rPr>
              <w:t>90</w:t>
            </w:r>
            <w:r>
              <w:rPr>
                <w:bCs/>
                <w:sz w:val="24"/>
              </w:rPr>
              <w:t>m</w:t>
            </w:r>
            <w:r>
              <w:rPr>
                <w:bCs/>
                <w:sz w:val="24"/>
                <w:vertAlign w:val="superscript"/>
              </w:rPr>
              <w:t>3</w:t>
            </w:r>
            <w:r>
              <w:rPr>
                <w:bCs/>
                <w:sz w:val="24"/>
              </w:rPr>
              <w:t>/a，洒水天数1</w:t>
            </w:r>
            <w:r>
              <w:rPr>
                <w:rFonts w:hint="eastAsia"/>
                <w:bCs/>
                <w:sz w:val="24"/>
              </w:rPr>
              <w:t>8</w:t>
            </w:r>
            <w:r>
              <w:rPr>
                <w:bCs/>
                <w:sz w:val="24"/>
              </w:rPr>
              <w:t>0d。</w:t>
            </w:r>
          </w:p>
          <w:p>
            <w:pPr>
              <w:adjustRightInd w:val="0"/>
              <w:snapToGrid w:val="0"/>
              <w:spacing w:line="360" w:lineRule="auto"/>
              <w:ind w:firstLine="480" w:firstLineChars="200"/>
              <w:rPr>
                <w:bCs/>
                <w:sz w:val="24"/>
              </w:rPr>
            </w:pPr>
            <w:r>
              <w:rPr>
                <w:rFonts w:hint="eastAsia" w:ascii="宋体" w:hAnsi="宋体" w:cs="宋体"/>
                <w:bCs/>
                <w:sz w:val="24"/>
              </w:rPr>
              <w:t>④</w:t>
            </w:r>
            <w:r>
              <w:rPr>
                <w:bCs/>
                <w:sz w:val="24"/>
              </w:rPr>
              <w:t>绿化用水</w:t>
            </w:r>
          </w:p>
          <w:p>
            <w:pPr>
              <w:adjustRightInd w:val="0"/>
              <w:snapToGrid w:val="0"/>
              <w:spacing w:line="360" w:lineRule="auto"/>
              <w:ind w:firstLine="480" w:firstLineChars="200"/>
              <w:rPr>
                <w:bCs/>
                <w:sz w:val="24"/>
              </w:rPr>
            </w:pPr>
            <w:r>
              <w:rPr>
                <w:bCs/>
                <w:sz w:val="24"/>
              </w:rPr>
              <w:t>项目绿化面积400m</w:t>
            </w:r>
            <w:r>
              <w:rPr>
                <w:bCs/>
                <w:sz w:val="24"/>
                <w:vertAlign w:val="superscript"/>
              </w:rPr>
              <w:t>2</w:t>
            </w:r>
            <w:r>
              <w:rPr>
                <w:bCs/>
                <w:sz w:val="24"/>
              </w:rPr>
              <w:t>，绿化用水0.12m</w:t>
            </w:r>
            <w:r>
              <w:rPr>
                <w:bCs/>
                <w:sz w:val="24"/>
                <w:vertAlign w:val="superscript"/>
              </w:rPr>
              <w:t>3</w:t>
            </w:r>
            <w:r>
              <w:rPr>
                <w:bCs/>
                <w:sz w:val="24"/>
              </w:rPr>
              <w:t>/（m</w:t>
            </w:r>
            <w:r>
              <w:rPr>
                <w:bCs/>
                <w:sz w:val="24"/>
                <w:vertAlign w:val="superscript"/>
              </w:rPr>
              <w:t>2</w:t>
            </w:r>
            <w:r>
              <w:rPr>
                <w:bCs/>
                <w:sz w:val="24"/>
              </w:rPr>
              <w:t>·a），绿化洒水天数1</w:t>
            </w:r>
            <w:r>
              <w:rPr>
                <w:rFonts w:hint="eastAsia"/>
                <w:bCs/>
                <w:sz w:val="24"/>
              </w:rPr>
              <w:t>8</w:t>
            </w:r>
            <w:r>
              <w:rPr>
                <w:bCs/>
                <w:sz w:val="24"/>
              </w:rPr>
              <w:t>0d，绿化日用水量为</w:t>
            </w:r>
            <w:r>
              <w:rPr>
                <w:rFonts w:hint="eastAsia"/>
                <w:bCs/>
                <w:sz w:val="24"/>
              </w:rPr>
              <w:t>0.27</w:t>
            </w:r>
            <w:r>
              <w:rPr>
                <w:bCs/>
                <w:sz w:val="24"/>
              </w:rPr>
              <w:t>m</w:t>
            </w:r>
            <w:r>
              <w:rPr>
                <w:bCs/>
                <w:sz w:val="24"/>
                <w:vertAlign w:val="superscript"/>
              </w:rPr>
              <w:t>3</w:t>
            </w:r>
            <w:r>
              <w:rPr>
                <w:bCs/>
                <w:sz w:val="24"/>
              </w:rPr>
              <w:t>，年用水量48m</w:t>
            </w:r>
            <w:r>
              <w:rPr>
                <w:bCs/>
                <w:sz w:val="24"/>
                <w:vertAlign w:val="superscript"/>
              </w:rPr>
              <w:t>3</w:t>
            </w:r>
            <w:r>
              <w:rPr>
                <w:bCs/>
                <w:sz w:val="24"/>
              </w:rPr>
              <w:t>。</w:t>
            </w:r>
          </w:p>
          <w:p>
            <w:pPr>
              <w:adjustRightInd w:val="0"/>
              <w:snapToGrid w:val="0"/>
              <w:spacing w:line="360" w:lineRule="auto"/>
              <w:ind w:firstLine="480" w:firstLineChars="200"/>
              <w:rPr>
                <w:bCs/>
                <w:sz w:val="24"/>
              </w:rPr>
            </w:pPr>
            <w:r>
              <w:rPr>
                <w:bCs/>
                <w:sz w:val="24"/>
              </w:rPr>
              <w:t>2）排水</w:t>
            </w:r>
          </w:p>
          <w:p>
            <w:pPr>
              <w:adjustRightInd w:val="0"/>
              <w:snapToGrid w:val="0"/>
              <w:spacing w:line="360" w:lineRule="auto"/>
              <w:ind w:firstLine="480" w:firstLineChars="200"/>
              <w:rPr>
                <w:bCs/>
                <w:sz w:val="24"/>
              </w:rPr>
            </w:pPr>
            <w:r>
              <w:rPr>
                <w:rFonts w:hint="eastAsia" w:ascii="宋体" w:hAnsi="宋体" w:cs="宋体"/>
                <w:bCs/>
                <w:sz w:val="24"/>
              </w:rPr>
              <w:t>①</w:t>
            </w:r>
            <w:r>
              <w:rPr>
                <w:bCs/>
                <w:sz w:val="24"/>
              </w:rPr>
              <w:t>生产废水</w:t>
            </w:r>
          </w:p>
          <w:p>
            <w:pPr>
              <w:adjustRightInd w:val="0"/>
              <w:snapToGrid w:val="0"/>
              <w:spacing w:line="360" w:lineRule="auto"/>
              <w:ind w:firstLine="480" w:firstLineChars="200"/>
              <w:rPr>
                <w:bCs/>
                <w:sz w:val="24"/>
              </w:rPr>
            </w:pPr>
            <w:r>
              <w:rPr>
                <w:bCs/>
                <w:sz w:val="24"/>
              </w:rPr>
              <w:t>本项目生产用水主要为乳化液的配置用水，其中乳化液的配置用水大都在机加工时随乳化液蒸发到空气中，部分随加工工件带走，设备保养时产生少量废乳化液，废乳化液以危废计，无生产废水产生。</w:t>
            </w:r>
          </w:p>
          <w:p>
            <w:pPr>
              <w:adjustRightInd w:val="0"/>
              <w:snapToGrid w:val="0"/>
              <w:spacing w:line="360" w:lineRule="auto"/>
              <w:ind w:firstLine="480" w:firstLineChars="200"/>
              <w:rPr>
                <w:bCs/>
                <w:sz w:val="24"/>
              </w:rPr>
            </w:pPr>
            <w:r>
              <w:rPr>
                <w:rFonts w:hint="eastAsia" w:ascii="宋体" w:hAnsi="宋体" w:cs="宋体"/>
                <w:bCs/>
                <w:sz w:val="24"/>
              </w:rPr>
              <w:t>②</w:t>
            </w:r>
            <w:r>
              <w:rPr>
                <w:bCs/>
                <w:sz w:val="24"/>
              </w:rPr>
              <w:t>生活污水</w:t>
            </w:r>
          </w:p>
          <w:p>
            <w:pPr>
              <w:adjustRightInd w:val="0"/>
              <w:snapToGrid w:val="0"/>
              <w:spacing w:line="360" w:lineRule="auto"/>
              <w:ind w:firstLine="480" w:firstLineChars="200"/>
              <w:rPr>
                <w:bCs/>
                <w:sz w:val="24"/>
              </w:rPr>
            </w:pPr>
            <w:r>
              <w:rPr>
                <w:bCs/>
                <w:sz w:val="24"/>
              </w:rPr>
              <w:t>生活污水按照用水量的80%计算，则职工生活污水量为0.36m</w:t>
            </w:r>
            <w:r>
              <w:rPr>
                <w:bCs/>
                <w:sz w:val="24"/>
                <w:vertAlign w:val="superscript"/>
              </w:rPr>
              <w:t>3</w:t>
            </w:r>
            <w:r>
              <w:rPr>
                <w:bCs/>
                <w:sz w:val="24"/>
              </w:rPr>
              <w:t>/d(</w:t>
            </w:r>
            <w:r>
              <w:rPr>
                <w:rFonts w:hint="eastAsia"/>
                <w:bCs/>
                <w:sz w:val="24"/>
              </w:rPr>
              <w:t>108</w:t>
            </w:r>
            <w:r>
              <w:rPr>
                <w:bCs/>
                <w:sz w:val="24"/>
              </w:rPr>
              <w:t>m</w:t>
            </w:r>
            <w:r>
              <w:rPr>
                <w:bCs/>
                <w:sz w:val="24"/>
                <w:vertAlign w:val="superscript"/>
              </w:rPr>
              <w:t>3</w:t>
            </w:r>
            <w:r>
              <w:rPr>
                <w:bCs/>
                <w:sz w:val="24"/>
              </w:rPr>
              <w:t>/a)。因其产生量较少，水质简单，洒水抑尘。</w:t>
            </w:r>
          </w:p>
          <w:p>
            <w:pPr>
              <w:adjustRightInd w:val="0"/>
              <w:snapToGrid w:val="0"/>
              <w:spacing w:line="360" w:lineRule="auto"/>
              <w:ind w:firstLine="480" w:firstLineChars="200"/>
              <w:rPr>
                <w:bCs/>
                <w:sz w:val="24"/>
              </w:rPr>
            </w:pPr>
            <w:r>
              <w:rPr>
                <w:bCs/>
                <w:sz w:val="24"/>
              </w:rPr>
              <w:t>本项目一期工程用水量及排水量一览表见表</w:t>
            </w:r>
            <w:r>
              <w:rPr>
                <w:rFonts w:hint="eastAsia"/>
                <w:bCs/>
                <w:sz w:val="24"/>
              </w:rPr>
              <w:t>9</w:t>
            </w:r>
            <w:r>
              <w:rPr>
                <w:bCs/>
                <w:sz w:val="24"/>
              </w:rPr>
              <w:t>。水平衡图见图1、图2。</w:t>
            </w:r>
          </w:p>
          <w:p>
            <w:pPr>
              <w:adjustRightInd w:val="0"/>
              <w:snapToGrid w:val="0"/>
              <w:jc w:val="center"/>
              <w:rPr>
                <w:b/>
                <w:szCs w:val="21"/>
              </w:rPr>
            </w:pPr>
            <w:r>
              <w:rPr>
                <w:b/>
                <w:szCs w:val="21"/>
              </w:rPr>
              <w:t>表</w:t>
            </w:r>
            <w:r>
              <w:rPr>
                <w:rFonts w:hint="eastAsia"/>
                <w:b/>
                <w:szCs w:val="21"/>
              </w:rPr>
              <w:t>9</w:t>
            </w:r>
            <w:r>
              <w:rPr>
                <w:b/>
                <w:szCs w:val="21"/>
              </w:rPr>
              <w:t xml:space="preserve">  一期工程用水量及排水量一览表</w:t>
            </w:r>
          </w:p>
          <w:tbl>
            <w:tblPr>
              <w:tblStyle w:val="1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81"/>
              <w:gridCol w:w="1638"/>
              <w:gridCol w:w="1673"/>
              <w:gridCol w:w="794"/>
              <w:gridCol w:w="839"/>
              <w:gridCol w:w="898"/>
              <w:gridCol w:w="842"/>
              <w:gridCol w:w="9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340" w:type="dxa"/>
                  <w:gridSpan w:val="2"/>
                  <w:vMerge w:val="restart"/>
                  <w:vAlign w:val="center"/>
                </w:tcPr>
                <w:p>
                  <w:pPr>
                    <w:jc w:val="center"/>
                    <w:rPr>
                      <w:szCs w:val="21"/>
                    </w:rPr>
                  </w:pPr>
                  <w:r>
                    <w:rPr>
                      <w:szCs w:val="21"/>
                    </w:rPr>
                    <w:t>用水类型</w:t>
                  </w:r>
                </w:p>
              </w:tc>
              <w:tc>
                <w:tcPr>
                  <w:tcW w:w="1681" w:type="dxa"/>
                  <w:vMerge w:val="restart"/>
                  <w:vAlign w:val="center"/>
                </w:tcPr>
                <w:p>
                  <w:pPr>
                    <w:jc w:val="center"/>
                    <w:rPr>
                      <w:szCs w:val="21"/>
                    </w:rPr>
                  </w:pPr>
                  <w:r>
                    <w:rPr>
                      <w:szCs w:val="21"/>
                    </w:rPr>
                    <w:t>用水量指标</w:t>
                  </w:r>
                </w:p>
              </w:tc>
              <w:tc>
                <w:tcPr>
                  <w:tcW w:w="753" w:type="dxa"/>
                  <w:vMerge w:val="restart"/>
                  <w:vAlign w:val="center"/>
                </w:tcPr>
                <w:p>
                  <w:pPr>
                    <w:jc w:val="center"/>
                    <w:rPr>
                      <w:szCs w:val="21"/>
                    </w:rPr>
                  </w:pPr>
                  <w:r>
                    <w:rPr>
                      <w:szCs w:val="21"/>
                    </w:rPr>
                    <w:t>数量</w:t>
                  </w:r>
                </w:p>
              </w:tc>
              <w:tc>
                <w:tcPr>
                  <w:tcW w:w="1740" w:type="dxa"/>
                  <w:gridSpan w:val="2"/>
                  <w:vAlign w:val="center"/>
                </w:tcPr>
                <w:p>
                  <w:pPr>
                    <w:jc w:val="center"/>
                    <w:rPr>
                      <w:szCs w:val="21"/>
                    </w:rPr>
                  </w:pPr>
                  <w:r>
                    <w:rPr>
                      <w:szCs w:val="21"/>
                    </w:rPr>
                    <w:t>用水量（m</w:t>
                  </w:r>
                  <w:r>
                    <w:rPr>
                      <w:szCs w:val="21"/>
                      <w:vertAlign w:val="superscript"/>
                    </w:rPr>
                    <w:t>3</w:t>
                  </w:r>
                  <w:r>
                    <w:rPr>
                      <w:szCs w:val="21"/>
                    </w:rPr>
                    <w:t>）</w:t>
                  </w:r>
                </w:p>
              </w:tc>
              <w:tc>
                <w:tcPr>
                  <w:tcW w:w="1800" w:type="dxa"/>
                  <w:gridSpan w:val="2"/>
                  <w:vAlign w:val="center"/>
                </w:tcPr>
                <w:p>
                  <w:pPr>
                    <w:jc w:val="center"/>
                    <w:rPr>
                      <w:szCs w:val="21"/>
                    </w:rPr>
                  </w:pPr>
                  <w:r>
                    <w:rPr>
                      <w:szCs w:val="21"/>
                    </w:rPr>
                    <w:t>排水量（m</w:t>
                  </w:r>
                  <w:r>
                    <w:rPr>
                      <w:szCs w:val="21"/>
                      <w:vertAlign w:val="superscript"/>
                    </w:rPr>
                    <w:t>3</w:t>
                  </w: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340" w:type="dxa"/>
                  <w:gridSpan w:val="2"/>
                  <w:vMerge w:val="continue"/>
                  <w:vAlign w:val="center"/>
                </w:tcPr>
                <w:p>
                  <w:pPr>
                    <w:jc w:val="center"/>
                    <w:rPr>
                      <w:szCs w:val="21"/>
                    </w:rPr>
                  </w:pPr>
                </w:p>
              </w:tc>
              <w:tc>
                <w:tcPr>
                  <w:tcW w:w="1681" w:type="dxa"/>
                  <w:vMerge w:val="continue"/>
                  <w:vAlign w:val="center"/>
                </w:tcPr>
                <w:p>
                  <w:pPr>
                    <w:jc w:val="center"/>
                    <w:rPr>
                      <w:szCs w:val="21"/>
                    </w:rPr>
                  </w:pPr>
                </w:p>
              </w:tc>
              <w:tc>
                <w:tcPr>
                  <w:tcW w:w="753" w:type="dxa"/>
                  <w:vMerge w:val="continue"/>
                  <w:vAlign w:val="center"/>
                </w:tcPr>
                <w:p>
                  <w:pPr>
                    <w:jc w:val="center"/>
                    <w:rPr>
                      <w:szCs w:val="21"/>
                    </w:rPr>
                  </w:pPr>
                </w:p>
              </w:tc>
              <w:tc>
                <w:tcPr>
                  <w:tcW w:w="841" w:type="dxa"/>
                  <w:vAlign w:val="center"/>
                </w:tcPr>
                <w:p>
                  <w:pPr>
                    <w:jc w:val="center"/>
                    <w:rPr>
                      <w:szCs w:val="21"/>
                    </w:rPr>
                  </w:pPr>
                  <w:r>
                    <w:rPr>
                      <w:szCs w:val="21"/>
                    </w:rPr>
                    <w:t>日用</w:t>
                  </w:r>
                </w:p>
                <w:p>
                  <w:pPr>
                    <w:jc w:val="center"/>
                    <w:rPr>
                      <w:szCs w:val="21"/>
                    </w:rPr>
                  </w:pPr>
                  <w:r>
                    <w:rPr>
                      <w:szCs w:val="21"/>
                    </w:rPr>
                    <w:t>水量</w:t>
                  </w:r>
                </w:p>
              </w:tc>
              <w:tc>
                <w:tcPr>
                  <w:tcW w:w="899" w:type="dxa"/>
                  <w:vAlign w:val="center"/>
                </w:tcPr>
                <w:p>
                  <w:pPr>
                    <w:jc w:val="center"/>
                    <w:rPr>
                      <w:szCs w:val="21"/>
                    </w:rPr>
                  </w:pPr>
                  <w:r>
                    <w:rPr>
                      <w:szCs w:val="21"/>
                    </w:rPr>
                    <w:t>年用</w:t>
                  </w:r>
                </w:p>
                <w:p>
                  <w:pPr>
                    <w:jc w:val="center"/>
                    <w:rPr>
                      <w:szCs w:val="21"/>
                    </w:rPr>
                  </w:pPr>
                  <w:r>
                    <w:rPr>
                      <w:szCs w:val="21"/>
                    </w:rPr>
                    <w:t>水量</w:t>
                  </w:r>
                </w:p>
              </w:tc>
              <w:tc>
                <w:tcPr>
                  <w:tcW w:w="846" w:type="dxa"/>
                  <w:vAlign w:val="center"/>
                </w:tcPr>
                <w:p>
                  <w:pPr>
                    <w:jc w:val="center"/>
                    <w:rPr>
                      <w:szCs w:val="21"/>
                    </w:rPr>
                  </w:pPr>
                  <w:r>
                    <w:rPr>
                      <w:szCs w:val="21"/>
                    </w:rPr>
                    <w:t>日排</w:t>
                  </w:r>
                </w:p>
                <w:p>
                  <w:pPr>
                    <w:jc w:val="center"/>
                    <w:rPr>
                      <w:szCs w:val="21"/>
                    </w:rPr>
                  </w:pPr>
                  <w:r>
                    <w:rPr>
                      <w:szCs w:val="21"/>
                    </w:rPr>
                    <w:t>水量</w:t>
                  </w:r>
                </w:p>
              </w:tc>
              <w:tc>
                <w:tcPr>
                  <w:tcW w:w="954" w:type="dxa"/>
                  <w:vAlign w:val="center"/>
                </w:tcPr>
                <w:p>
                  <w:pPr>
                    <w:jc w:val="center"/>
                    <w:rPr>
                      <w:szCs w:val="21"/>
                    </w:rPr>
                  </w:pPr>
                  <w:r>
                    <w:rPr>
                      <w:szCs w:val="21"/>
                    </w:rPr>
                    <w:t>年排</w:t>
                  </w:r>
                </w:p>
                <w:p>
                  <w:pPr>
                    <w:jc w:val="center"/>
                    <w:rPr>
                      <w:szCs w:val="21"/>
                    </w:rPr>
                  </w:pPr>
                  <w:r>
                    <w:rPr>
                      <w:szCs w:val="21"/>
                    </w:rPr>
                    <w:t>水量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5" w:type="dxa"/>
                  <w:vAlign w:val="center"/>
                </w:tcPr>
                <w:p>
                  <w:pPr>
                    <w:jc w:val="center"/>
                    <w:rPr>
                      <w:szCs w:val="21"/>
                    </w:rPr>
                  </w:pPr>
                  <w:r>
                    <w:rPr>
                      <w:szCs w:val="21"/>
                    </w:rPr>
                    <w:t>1</w:t>
                  </w:r>
                </w:p>
              </w:tc>
              <w:tc>
                <w:tcPr>
                  <w:tcW w:w="1655" w:type="dxa"/>
                  <w:vAlign w:val="center"/>
                </w:tcPr>
                <w:p>
                  <w:pPr>
                    <w:jc w:val="center"/>
                    <w:rPr>
                      <w:szCs w:val="21"/>
                    </w:rPr>
                  </w:pPr>
                  <w:r>
                    <w:rPr>
                      <w:szCs w:val="21"/>
                    </w:rPr>
                    <w:t>职工生活用水</w:t>
                  </w:r>
                </w:p>
              </w:tc>
              <w:tc>
                <w:tcPr>
                  <w:tcW w:w="1681" w:type="dxa"/>
                  <w:vAlign w:val="center"/>
                </w:tcPr>
                <w:p>
                  <w:pPr>
                    <w:jc w:val="center"/>
                    <w:rPr>
                      <w:szCs w:val="21"/>
                    </w:rPr>
                  </w:pPr>
                  <w:r>
                    <w:rPr>
                      <w:szCs w:val="21"/>
                    </w:rPr>
                    <w:t>30L/人·d</w:t>
                  </w:r>
                </w:p>
              </w:tc>
              <w:tc>
                <w:tcPr>
                  <w:tcW w:w="753" w:type="dxa"/>
                  <w:vAlign w:val="center"/>
                </w:tcPr>
                <w:p>
                  <w:pPr>
                    <w:jc w:val="center"/>
                    <w:rPr>
                      <w:szCs w:val="21"/>
                    </w:rPr>
                  </w:pPr>
                  <w:r>
                    <w:rPr>
                      <w:szCs w:val="21"/>
                    </w:rPr>
                    <w:t>15人</w:t>
                  </w:r>
                </w:p>
              </w:tc>
              <w:tc>
                <w:tcPr>
                  <w:tcW w:w="841" w:type="dxa"/>
                  <w:vAlign w:val="center"/>
                </w:tcPr>
                <w:p>
                  <w:pPr>
                    <w:jc w:val="center"/>
                    <w:rPr>
                      <w:szCs w:val="21"/>
                    </w:rPr>
                  </w:pPr>
                  <w:r>
                    <w:rPr>
                      <w:szCs w:val="21"/>
                    </w:rPr>
                    <w:t>0.45</w:t>
                  </w:r>
                </w:p>
              </w:tc>
              <w:tc>
                <w:tcPr>
                  <w:tcW w:w="899" w:type="dxa"/>
                  <w:vAlign w:val="center"/>
                </w:tcPr>
                <w:p>
                  <w:pPr>
                    <w:jc w:val="center"/>
                    <w:rPr>
                      <w:szCs w:val="21"/>
                    </w:rPr>
                  </w:pPr>
                  <w:r>
                    <w:rPr>
                      <w:rFonts w:hint="eastAsia"/>
                      <w:szCs w:val="21"/>
                    </w:rPr>
                    <w:t>135</w:t>
                  </w:r>
                </w:p>
              </w:tc>
              <w:tc>
                <w:tcPr>
                  <w:tcW w:w="846" w:type="dxa"/>
                  <w:vAlign w:val="center"/>
                </w:tcPr>
                <w:p>
                  <w:pPr>
                    <w:jc w:val="center"/>
                    <w:rPr>
                      <w:szCs w:val="21"/>
                    </w:rPr>
                  </w:pPr>
                  <w:r>
                    <w:rPr>
                      <w:szCs w:val="21"/>
                    </w:rPr>
                    <w:t>0.36</w:t>
                  </w:r>
                </w:p>
              </w:tc>
              <w:tc>
                <w:tcPr>
                  <w:tcW w:w="954" w:type="dxa"/>
                  <w:vAlign w:val="center"/>
                </w:tcPr>
                <w:p>
                  <w:pPr>
                    <w:jc w:val="center"/>
                    <w:rPr>
                      <w:szCs w:val="21"/>
                    </w:rPr>
                  </w:pPr>
                  <w:r>
                    <w:rPr>
                      <w:rFonts w:hint="eastAsia"/>
                      <w:szCs w:val="21"/>
                    </w:rPr>
                    <w:t>108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5" w:type="dxa"/>
                  <w:vAlign w:val="center"/>
                </w:tcPr>
                <w:p>
                  <w:pPr>
                    <w:jc w:val="center"/>
                    <w:rPr>
                      <w:szCs w:val="21"/>
                    </w:rPr>
                  </w:pPr>
                  <w:r>
                    <w:rPr>
                      <w:szCs w:val="21"/>
                    </w:rPr>
                    <w:t>2</w:t>
                  </w:r>
                </w:p>
              </w:tc>
              <w:tc>
                <w:tcPr>
                  <w:tcW w:w="1655" w:type="dxa"/>
                  <w:vAlign w:val="center"/>
                </w:tcPr>
                <w:p>
                  <w:pPr>
                    <w:jc w:val="center"/>
                    <w:rPr>
                      <w:spacing w:val="-6"/>
                      <w:szCs w:val="21"/>
                    </w:rPr>
                  </w:pPr>
                  <w:r>
                    <w:rPr>
                      <w:spacing w:val="-6"/>
                      <w:szCs w:val="21"/>
                    </w:rPr>
                    <w:t>乳化液配比用水</w:t>
                  </w:r>
                </w:p>
              </w:tc>
              <w:tc>
                <w:tcPr>
                  <w:tcW w:w="1681" w:type="dxa"/>
                  <w:vAlign w:val="center"/>
                </w:tcPr>
                <w:p>
                  <w:pPr>
                    <w:jc w:val="center"/>
                    <w:rPr>
                      <w:szCs w:val="21"/>
                    </w:rPr>
                  </w:pPr>
                  <w:r>
                    <w:rPr>
                      <w:szCs w:val="21"/>
                    </w:rPr>
                    <w:t>乳化液：水=1：3</w:t>
                  </w:r>
                </w:p>
              </w:tc>
              <w:tc>
                <w:tcPr>
                  <w:tcW w:w="753" w:type="dxa"/>
                  <w:vAlign w:val="center"/>
                </w:tcPr>
                <w:p>
                  <w:pPr>
                    <w:jc w:val="center"/>
                    <w:rPr>
                      <w:szCs w:val="21"/>
                    </w:rPr>
                  </w:pPr>
                  <w:r>
                    <w:rPr>
                      <w:szCs w:val="21"/>
                    </w:rPr>
                    <w:t>0.1t/a</w:t>
                  </w:r>
                </w:p>
              </w:tc>
              <w:tc>
                <w:tcPr>
                  <w:tcW w:w="841" w:type="dxa"/>
                  <w:vAlign w:val="center"/>
                </w:tcPr>
                <w:p>
                  <w:pPr>
                    <w:jc w:val="center"/>
                    <w:rPr>
                      <w:szCs w:val="21"/>
                    </w:rPr>
                  </w:pPr>
                  <w:r>
                    <w:rPr>
                      <w:szCs w:val="21"/>
                    </w:rPr>
                    <w:t>0.001</w:t>
                  </w:r>
                </w:p>
              </w:tc>
              <w:tc>
                <w:tcPr>
                  <w:tcW w:w="899" w:type="dxa"/>
                  <w:vAlign w:val="center"/>
                </w:tcPr>
                <w:p>
                  <w:pPr>
                    <w:jc w:val="center"/>
                    <w:rPr>
                      <w:szCs w:val="21"/>
                    </w:rPr>
                  </w:pPr>
                  <w:r>
                    <w:rPr>
                      <w:szCs w:val="21"/>
                    </w:rPr>
                    <w:t>0.3</w:t>
                  </w:r>
                </w:p>
              </w:tc>
              <w:tc>
                <w:tcPr>
                  <w:tcW w:w="846" w:type="dxa"/>
                  <w:vAlign w:val="center"/>
                </w:tcPr>
                <w:p>
                  <w:pPr>
                    <w:jc w:val="center"/>
                    <w:rPr>
                      <w:szCs w:val="21"/>
                    </w:rPr>
                  </w:pPr>
                  <w:r>
                    <w:rPr>
                      <w:szCs w:val="21"/>
                    </w:rPr>
                    <w:t>/</w:t>
                  </w:r>
                </w:p>
              </w:tc>
              <w:tc>
                <w:tcPr>
                  <w:tcW w:w="954" w:type="dxa"/>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5" w:type="dxa"/>
                  <w:vAlign w:val="center"/>
                </w:tcPr>
                <w:p>
                  <w:pPr>
                    <w:jc w:val="center"/>
                    <w:rPr>
                      <w:szCs w:val="21"/>
                    </w:rPr>
                  </w:pPr>
                  <w:r>
                    <w:rPr>
                      <w:szCs w:val="21"/>
                    </w:rPr>
                    <w:t>3</w:t>
                  </w:r>
                </w:p>
              </w:tc>
              <w:tc>
                <w:tcPr>
                  <w:tcW w:w="1655" w:type="dxa"/>
                  <w:vAlign w:val="center"/>
                </w:tcPr>
                <w:p>
                  <w:pPr>
                    <w:jc w:val="center"/>
                    <w:rPr>
                      <w:spacing w:val="-6"/>
                      <w:szCs w:val="21"/>
                    </w:rPr>
                  </w:pPr>
                  <w:r>
                    <w:rPr>
                      <w:spacing w:val="-6"/>
                      <w:szCs w:val="21"/>
                    </w:rPr>
                    <w:t>尿素配比用水</w:t>
                  </w:r>
                </w:p>
              </w:tc>
              <w:tc>
                <w:tcPr>
                  <w:tcW w:w="1681" w:type="dxa"/>
                  <w:vAlign w:val="center"/>
                </w:tcPr>
                <w:p>
                  <w:pPr>
                    <w:jc w:val="center"/>
                    <w:rPr>
                      <w:szCs w:val="21"/>
                    </w:rPr>
                  </w:pPr>
                  <w:r>
                    <w:rPr>
                      <w:rFonts w:hint="eastAsia"/>
                      <w:szCs w:val="21"/>
                    </w:rPr>
                    <w:t>32%尿素溶液</w:t>
                  </w:r>
                </w:p>
              </w:tc>
              <w:tc>
                <w:tcPr>
                  <w:tcW w:w="753" w:type="dxa"/>
                  <w:vAlign w:val="center"/>
                </w:tcPr>
                <w:p>
                  <w:pPr>
                    <w:jc w:val="center"/>
                    <w:rPr>
                      <w:szCs w:val="21"/>
                    </w:rPr>
                  </w:pPr>
                  <w:r>
                    <w:rPr>
                      <w:rFonts w:hint="eastAsia"/>
                      <w:szCs w:val="21"/>
                    </w:rPr>
                    <w:t>1.61t/a</w:t>
                  </w:r>
                </w:p>
              </w:tc>
              <w:tc>
                <w:tcPr>
                  <w:tcW w:w="841" w:type="dxa"/>
                  <w:vAlign w:val="center"/>
                </w:tcPr>
                <w:p>
                  <w:pPr>
                    <w:jc w:val="center"/>
                    <w:rPr>
                      <w:szCs w:val="21"/>
                    </w:rPr>
                  </w:pPr>
                  <w:r>
                    <w:rPr>
                      <w:rFonts w:hint="eastAsia"/>
                      <w:szCs w:val="21"/>
                    </w:rPr>
                    <w:t>0.011</w:t>
                  </w:r>
                </w:p>
              </w:tc>
              <w:tc>
                <w:tcPr>
                  <w:tcW w:w="899" w:type="dxa"/>
                  <w:vAlign w:val="center"/>
                </w:tcPr>
                <w:p>
                  <w:pPr>
                    <w:jc w:val="center"/>
                    <w:rPr>
                      <w:szCs w:val="21"/>
                    </w:rPr>
                  </w:pPr>
                  <w:r>
                    <w:rPr>
                      <w:rFonts w:hint="eastAsia"/>
                      <w:szCs w:val="21"/>
                    </w:rPr>
                    <w:t>3.43</w:t>
                  </w:r>
                </w:p>
              </w:tc>
              <w:tc>
                <w:tcPr>
                  <w:tcW w:w="846" w:type="dxa"/>
                  <w:vAlign w:val="center"/>
                </w:tcPr>
                <w:p>
                  <w:pPr>
                    <w:jc w:val="center"/>
                    <w:rPr>
                      <w:szCs w:val="21"/>
                    </w:rPr>
                  </w:pPr>
                  <w:r>
                    <w:rPr>
                      <w:rFonts w:hint="eastAsia"/>
                      <w:szCs w:val="21"/>
                    </w:rPr>
                    <w:t>/</w:t>
                  </w:r>
                </w:p>
              </w:tc>
              <w:tc>
                <w:tcPr>
                  <w:tcW w:w="954" w:type="dxa"/>
                  <w:vAlign w:val="center"/>
                </w:tcPr>
                <w:p>
                  <w:pPr>
                    <w:jc w:val="center"/>
                    <w:rPr>
                      <w:szCs w:val="21"/>
                    </w:rPr>
                  </w:pPr>
                  <w:r>
                    <w:rPr>
                      <w:rFonts w:hint="eastAsia"/>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5" w:type="dxa"/>
                  <w:vAlign w:val="center"/>
                </w:tcPr>
                <w:p>
                  <w:pPr>
                    <w:jc w:val="center"/>
                    <w:rPr>
                      <w:szCs w:val="21"/>
                    </w:rPr>
                  </w:pPr>
                  <w:r>
                    <w:rPr>
                      <w:szCs w:val="21"/>
                    </w:rPr>
                    <w:t>4</w:t>
                  </w:r>
                </w:p>
              </w:tc>
              <w:tc>
                <w:tcPr>
                  <w:tcW w:w="1655" w:type="dxa"/>
                  <w:vAlign w:val="center"/>
                </w:tcPr>
                <w:p>
                  <w:pPr>
                    <w:jc w:val="center"/>
                    <w:rPr>
                      <w:szCs w:val="21"/>
                    </w:rPr>
                  </w:pPr>
                  <w:r>
                    <w:rPr>
                      <w:szCs w:val="21"/>
                    </w:rPr>
                    <w:t>道路洒水</w:t>
                  </w:r>
                </w:p>
              </w:tc>
              <w:tc>
                <w:tcPr>
                  <w:tcW w:w="1681" w:type="dxa"/>
                  <w:vAlign w:val="center"/>
                </w:tcPr>
                <w:p>
                  <w:pPr>
                    <w:jc w:val="center"/>
                    <w:rPr>
                      <w:szCs w:val="21"/>
                    </w:rPr>
                  </w:pPr>
                  <w:r>
                    <w:rPr>
                      <w:bCs/>
                      <w:szCs w:val="21"/>
                    </w:rPr>
                    <w:t>1.0L/m</w:t>
                  </w:r>
                  <w:r>
                    <w:rPr>
                      <w:bCs/>
                      <w:szCs w:val="21"/>
                      <w:vertAlign w:val="superscript"/>
                    </w:rPr>
                    <w:t>2</w:t>
                  </w:r>
                  <w:r>
                    <w:rPr>
                      <w:b/>
                      <w:bCs/>
                      <w:szCs w:val="21"/>
                    </w:rPr>
                    <w:t>·</w:t>
                  </w:r>
                  <w:r>
                    <w:rPr>
                      <w:bCs/>
                      <w:szCs w:val="21"/>
                    </w:rPr>
                    <w:t>d</w:t>
                  </w:r>
                </w:p>
              </w:tc>
              <w:tc>
                <w:tcPr>
                  <w:tcW w:w="753" w:type="dxa"/>
                  <w:vAlign w:val="center"/>
                </w:tcPr>
                <w:p>
                  <w:pPr>
                    <w:jc w:val="center"/>
                    <w:rPr>
                      <w:szCs w:val="21"/>
                    </w:rPr>
                  </w:pPr>
                  <w:r>
                    <w:rPr>
                      <w:szCs w:val="21"/>
                    </w:rPr>
                    <w:t>500m</w:t>
                  </w:r>
                  <w:r>
                    <w:rPr>
                      <w:szCs w:val="21"/>
                      <w:vertAlign w:val="superscript"/>
                    </w:rPr>
                    <w:t>2</w:t>
                  </w:r>
                </w:p>
              </w:tc>
              <w:tc>
                <w:tcPr>
                  <w:tcW w:w="841" w:type="dxa"/>
                  <w:vAlign w:val="center"/>
                </w:tcPr>
                <w:p>
                  <w:pPr>
                    <w:jc w:val="center"/>
                    <w:rPr>
                      <w:szCs w:val="21"/>
                    </w:rPr>
                  </w:pPr>
                  <w:r>
                    <w:rPr>
                      <w:szCs w:val="21"/>
                    </w:rPr>
                    <w:t>0.5</w:t>
                  </w:r>
                </w:p>
              </w:tc>
              <w:tc>
                <w:tcPr>
                  <w:tcW w:w="899" w:type="dxa"/>
                  <w:vAlign w:val="center"/>
                </w:tcPr>
                <w:p>
                  <w:pPr>
                    <w:jc w:val="center"/>
                    <w:rPr>
                      <w:szCs w:val="21"/>
                    </w:rPr>
                  </w:pPr>
                  <w:r>
                    <w:rPr>
                      <w:rFonts w:hint="eastAsia"/>
                      <w:szCs w:val="21"/>
                    </w:rPr>
                    <w:t>90</w:t>
                  </w:r>
                </w:p>
              </w:tc>
              <w:tc>
                <w:tcPr>
                  <w:tcW w:w="846" w:type="dxa"/>
                  <w:vAlign w:val="center"/>
                </w:tcPr>
                <w:p>
                  <w:pPr>
                    <w:jc w:val="center"/>
                    <w:rPr>
                      <w:szCs w:val="21"/>
                    </w:rPr>
                  </w:pPr>
                  <w:r>
                    <w:rPr>
                      <w:szCs w:val="21"/>
                    </w:rPr>
                    <w:t>/</w:t>
                  </w:r>
                </w:p>
              </w:tc>
              <w:tc>
                <w:tcPr>
                  <w:tcW w:w="954" w:type="dxa"/>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5" w:type="dxa"/>
                  <w:vAlign w:val="center"/>
                </w:tcPr>
                <w:p>
                  <w:pPr>
                    <w:jc w:val="center"/>
                    <w:rPr>
                      <w:szCs w:val="21"/>
                    </w:rPr>
                  </w:pPr>
                  <w:r>
                    <w:rPr>
                      <w:rFonts w:hint="eastAsia"/>
                      <w:szCs w:val="21"/>
                    </w:rPr>
                    <w:t>5</w:t>
                  </w:r>
                </w:p>
              </w:tc>
              <w:tc>
                <w:tcPr>
                  <w:tcW w:w="1655" w:type="dxa"/>
                  <w:vAlign w:val="center"/>
                </w:tcPr>
                <w:p>
                  <w:pPr>
                    <w:jc w:val="center"/>
                    <w:rPr>
                      <w:szCs w:val="21"/>
                    </w:rPr>
                  </w:pPr>
                  <w:r>
                    <w:rPr>
                      <w:szCs w:val="21"/>
                    </w:rPr>
                    <w:t>绿化用水</w:t>
                  </w:r>
                </w:p>
              </w:tc>
              <w:tc>
                <w:tcPr>
                  <w:tcW w:w="1681" w:type="dxa"/>
                  <w:vAlign w:val="center"/>
                </w:tcPr>
                <w:p>
                  <w:pPr>
                    <w:jc w:val="center"/>
                    <w:rPr>
                      <w:bCs/>
                      <w:szCs w:val="21"/>
                    </w:rPr>
                  </w:pPr>
                  <w:r>
                    <w:rPr>
                      <w:szCs w:val="21"/>
                    </w:rPr>
                    <w:t>0.12m</w:t>
                  </w:r>
                  <w:r>
                    <w:rPr>
                      <w:szCs w:val="21"/>
                      <w:vertAlign w:val="superscript"/>
                    </w:rPr>
                    <w:t>3</w:t>
                  </w:r>
                  <w:r>
                    <w:rPr>
                      <w:szCs w:val="21"/>
                    </w:rPr>
                    <w:t>/（m</w:t>
                  </w:r>
                  <w:r>
                    <w:rPr>
                      <w:szCs w:val="21"/>
                      <w:vertAlign w:val="superscript"/>
                    </w:rPr>
                    <w:t>2</w:t>
                  </w:r>
                  <w:r>
                    <w:rPr>
                      <w:szCs w:val="21"/>
                    </w:rPr>
                    <w:t>·a）</w:t>
                  </w:r>
                </w:p>
              </w:tc>
              <w:tc>
                <w:tcPr>
                  <w:tcW w:w="753" w:type="dxa"/>
                  <w:vAlign w:val="center"/>
                </w:tcPr>
                <w:p>
                  <w:pPr>
                    <w:jc w:val="center"/>
                    <w:rPr>
                      <w:szCs w:val="21"/>
                    </w:rPr>
                  </w:pPr>
                  <w:r>
                    <w:rPr>
                      <w:szCs w:val="21"/>
                    </w:rPr>
                    <w:t>400m</w:t>
                  </w:r>
                  <w:r>
                    <w:rPr>
                      <w:szCs w:val="21"/>
                      <w:vertAlign w:val="superscript"/>
                    </w:rPr>
                    <w:t>2</w:t>
                  </w:r>
                </w:p>
              </w:tc>
              <w:tc>
                <w:tcPr>
                  <w:tcW w:w="841" w:type="dxa"/>
                  <w:vAlign w:val="center"/>
                </w:tcPr>
                <w:p>
                  <w:pPr>
                    <w:jc w:val="center"/>
                    <w:rPr>
                      <w:szCs w:val="21"/>
                    </w:rPr>
                  </w:pPr>
                  <w:r>
                    <w:rPr>
                      <w:szCs w:val="21"/>
                    </w:rPr>
                    <w:t>0.</w:t>
                  </w:r>
                  <w:r>
                    <w:rPr>
                      <w:rFonts w:hint="eastAsia"/>
                      <w:szCs w:val="21"/>
                    </w:rPr>
                    <w:t>27</w:t>
                  </w:r>
                </w:p>
              </w:tc>
              <w:tc>
                <w:tcPr>
                  <w:tcW w:w="899" w:type="dxa"/>
                  <w:vAlign w:val="center"/>
                </w:tcPr>
                <w:p>
                  <w:pPr>
                    <w:jc w:val="center"/>
                    <w:rPr>
                      <w:szCs w:val="21"/>
                    </w:rPr>
                  </w:pPr>
                  <w:r>
                    <w:rPr>
                      <w:szCs w:val="21"/>
                    </w:rPr>
                    <w:t>48</w:t>
                  </w:r>
                </w:p>
              </w:tc>
              <w:tc>
                <w:tcPr>
                  <w:tcW w:w="846" w:type="dxa"/>
                  <w:vAlign w:val="center"/>
                </w:tcPr>
                <w:p>
                  <w:pPr>
                    <w:jc w:val="center"/>
                    <w:rPr>
                      <w:szCs w:val="21"/>
                    </w:rPr>
                  </w:pPr>
                  <w:r>
                    <w:rPr>
                      <w:szCs w:val="21"/>
                    </w:rPr>
                    <w:t>/</w:t>
                  </w:r>
                </w:p>
              </w:tc>
              <w:tc>
                <w:tcPr>
                  <w:tcW w:w="954" w:type="dxa"/>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5" w:type="dxa"/>
                  <w:vMerge w:val="restart"/>
                  <w:vAlign w:val="center"/>
                </w:tcPr>
                <w:p>
                  <w:pPr>
                    <w:jc w:val="center"/>
                    <w:rPr>
                      <w:szCs w:val="21"/>
                    </w:rPr>
                  </w:pPr>
                  <w:r>
                    <w:rPr>
                      <w:szCs w:val="21"/>
                    </w:rPr>
                    <w:t>总计</w:t>
                  </w:r>
                </w:p>
              </w:tc>
              <w:tc>
                <w:tcPr>
                  <w:tcW w:w="1655" w:type="dxa"/>
                  <w:vAlign w:val="center"/>
                </w:tcPr>
                <w:p>
                  <w:pPr>
                    <w:jc w:val="center"/>
                    <w:rPr>
                      <w:szCs w:val="21"/>
                    </w:rPr>
                  </w:pPr>
                  <w:r>
                    <w:rPr>
                      <w:szCs w:val="21"/>
                    </w:rPr>
                    <w:t>非采暖季</w:t>
                  </w:r>
                </w:p>
              </w:tc>
              <w:tc>
                <w:tcPr>
                  <w:tcW w:w="1681" w:type="dxa"/>
                  <w:vAlign w:val="center"/>
                </w:tcPr>
                <w:p>
                  <w:pPr>
                    <w:jc w:val="center"/>
                    <w:rPr>
                      <w:bCs/>
                      <w:szCs w:val="21"/>
                    </w:rPr>
                  </w:pPr>
                  <w:r>
                    <w:rPr>
                      <w:bCs/>
                      <w:szCs w:val="21"/>
                    </w:rPr>
                    <w:t>—</w:t>
                  </w:r>
                </w:p>
              </w:tc>
              <w:tc>
                <w:tcPr>
                  <w:tcW w:w="753" w:type="dxa"/>
                  <w:vAlign w:val="center"/>
                </w:tcPr>
                <w:p>
                  <w:pPr>
                    <w:jc w:val="center"/>
                    <w:rPr>
                      <w:szCs w:val="21"/>
                    </w:rPr>
                  </w:pPr>
                  <w:r>
                    <w:rPr>
                      <w:bCs/>
                      <w:szCs w:val="21"/>
                    </w:rPr>
                    <w:t>—</w:t>
                  </w:r>
                </w:p>
              </w:tc>
              <w:tc>
                <w:tcPr>
                  <w:tcW w:w="841" w:type="dxa"/>
                  <w:vAlign w:val="center"/>
                </w:tcPr>
                <w:p>
                  <w:pPr>
                    <w:jc w:val="center"/>
                    <w:rPr>
                      <w:szCs w:val="21"/>
                    </w:rPr>
                  </w:pPr>
                  <w:r>
                    <w:rPr>
                      <w:rFonts w:hint="eastAsia"/>
                      <w:szCs w:val="21"/>
                    </w:rPr>
                    <w:t>1.232</w:t>
                  </w:r>
                </w:p>
              </w:tc>
              <w:tc>
                <w:tcPr>
                  <w:tcW w:w="899" w:type="dxa"/>
                  <w:vAlign w:val="center"/>
                </w:tcPr>
                <w:p>
                  <w:pPr>
                    <w:jc w:val="center"/>
                    <w:rPr>
                      <w:szCs w:val="21"/>
                    </w:rPr>
                  </w:pPr>
                  <w:r>
                    <w:rPr>
                      <w:rFonts w:hint="eastAsia"/>
                      <w:szCs w:val="21"/>
                    </w:rPr>
                    <w:t>221.24</w:t>
                  </w:r>
                </w:p>
              </w:tc>
              <w:tc>
                <w:tcPr>
                  <w:tcW w:w="846" w:type="dxa"/>
                  <w:vAlign w:val="center"/>
                </w:tcPr>
                <w:p>
                  <w:pPr>
                    <w:jc w:val="center"/>
                    <w:rPr>
                      <w:szCs w:val="21"/>
                    </w:rPr>
                  </w:pPr>
                  <w:r>
                    <w:rPr>
                      <w:szCs w:val="21"/>
                    </w:rPr>
                    <w:t>0.36</w:t>
                  </w:r>
                </w:p>
              </w:tc>
              <w:tc>
                <w:tcPr>
                  <w:tcW w:w="954" w:type="dxa"/>
                  <w:vAlign w:val="center"/>
                </w:tcPr>
                <w:p>
                  <w:pPr>
                    <w:jc w:val="center"/>
                    <w:rPr>
                      <w:szCs w:val="21"/>
                    </w:rPr>
                  </w:pPr>
                  <w:r>
                    <w:rPr>
                      <w:rFonts w:hint="eastAsia"/>
                      <w:szCs w:val="21"/>
                    </w:rPr>
                    <w:t>64.8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85" w:type="dxa"/>
                  <w:vMerge w:val="continue"/>
                  <w:vAlign w:val="center"/>
                </w:tcPr>
                <w:p>
                  <w:pPr>
                    <w:jc w:val="center"/>
                    <w:rPr>
                      <w:szCs w:val="21"/>
                    </w:rPr>
                  </w:pPr>
                </w:p>
              </w:tc>
              <w:tc>
                <w:tcPr>
                  <w:tcW w:w="1655" w:type="dxa"/>
                  <w:vAlign w:val="center"/>
                </w:tcPr>
                <w:p>
                  <w:pPr>
                    <w:jc w:val="center"/>
                    <w:rPr>
                      <w:szCs w:val="21"/>
                    </w:rPr>
                  </w:pPr>
                  <w:r>
                    <w:rPr>
                      <w:szCs w:val="21"/>
                    </w:rPr>
                    <w:t>采暖季</w:t>
                  </w:r>
                </w:p>
              </w:tc>
              <w:tc>
                <w:tcPr>
                  <w:tcW w:w="1681" w:type="dxa"/>
                  <w:vAlign w:val="center"/>
                </w:tcPr>
                <w:p>
                  <w:pPr>
                    <w:jc w:val="center"/>
                    <w:rPr>
                      <w:bCs/>
                      <w:szCs w:val="21"/>
                    </w:rPr>
                  </w:pPr>
                  <w:r>
                    <w:rPr>
                      <w:bCs/>
                      <w:szCs w:val="21"/>
                    </w:rPr>
                    <w:t>—</w:t>
                  </w:r>
                </w:p>
              </w:tc>
              <w:tc>
                <w:tcPr>
                  <w:tcW w:w="753" w:type="dxa"/>
                  <w:vAlign w:val="center"/>
                </w:tcPr>
                <w:p>
                  <w:pPr>
                    <w:jc w:val="center"/>
                    <w:rPr>
                      <w:szCs w:val="21"/>
                    </w:rPr>
                  </w:pPr>
                  <w:r>
                    <w:rPr>
                      <w:bCs/>
                      <w:szCs w:val="21"/>
                    </w:rPr>
                    <w:t>—</w:t>
                  </w:r>
                </w:p>
              </w:tc>
              <w:tc>
                <w:tcPr>
                  <w:tcW w:w="841" w:type="dxa"/>
                  <w:vAlign w:val="center"/>
                </w:tcPr>
                <w:p>
                  <w:pPr>
                    <w:jc w:val="center"/>
                    <w:rPr>
                      <w:szCs w:val="21"/>
                    </w:rPr>
                  </w:pPr>
                  <w:r>
                    <w:rPr>
                      <w:rFonts w:hint="eastAsia"/>
                      <w:szCs w:val="21"/>
                    </w:rPr>
                    <w:t>0.462</w:t>
                  </w:r>
                </w:p>
              </w:tc>
              <w:tc>
                <w:tcPr>
                  <w:tcW w:w="899" w:type="dxa"/>
                  <w:vAlign w:val="center"/>
                </w:tcPr>
                <w:p>
                  <w:pPr>
                    <w:jc w:val="center"/>
                    <w:rPr>
                      <w:szCs w:val="21"/>
                    </w:rPr>
                  </w:pPr>
                  <w:r>
                    <w:rPr>
                      <w:rFonts w:hint="eastAsia"/>
                      <w:szCs w:val="21"/>
                    </w:rPr>
                    <w:t>55.49</w:t>
                  </w:r>
                </w:p>
              </w:tc>
              <w:tc>
                <w:tcPr>
                  <w:tcW w:w="846" w:type="dxa"/>
                  <w:vAlign w:val="center"/>
                </w:tcPr>
                <w:p>
                  <w:pPr>
                    <w:jc w:val="center"/>
                    <w:rPr>
                      <w:szCs w:val="21"/>
                    </w:rPr>
                  </w:pPr>
                  <w:r>
                    <w:rPr>
                      <w:szCs w:val="21"/>
                    </w:rPr>
                    <w:t>0.36</w:t>
                  </w:r>
                </w:p>
              </w:tc>
              <w:tc>
                <w:tcPr>
                  <w:tcW w:w="954" w:type="dxa"/>
                  <w:vAlign w:val="center"/>
                </w:tcPr>
                <w:p>
                  <w:pPr>
                    <w:jc w:val="center"/>
                    <w:rPr>
                      <w:szCs w:val="21"/>
                    </w:rPr>
                  </w:pPr>
                  <w:r>
                    <w:rPr>
                      <w:rFonts w:hint="eastAsia"/>
                      <w:szCs w:val="21"/>
                    </w:rPr>
                    <w:t>43.2</w:t>
                  </w:r>
                </w:p>
              </w:tc>
            </w:tr>
          </w:tbl>
          <w:p>
            <w:pPr>
              <w:widowControl/>
              <w:jc w:val="center"/>
            </w:pPr>
            <w:r>
              <w:object>
                <v:shape id="_x0000_i1027" o:spt="75" type="#_x0000_t75" style="height:105.25pt;width:283.4pt;" o:ole="t" filled="f" o:preferrelative="t" stroked="f" coordsize="21600,21600">
                  <v:path/>
                  <v:fill on="f" focussize="0,0"/>
                  <v:stroke on="f" joinstyle="miter"/>
                  <v:imagedata r:id="rId21" o:title=""/>
                  <o:lock v:ext="edit" aspectratio="t"/>
                  <w10:wrap type="none"/>
                  <w10:anchorlock/>
                </v:shape>
                <o:OLEObject Type="Embed" ProgID="Visio.Drawing.11" ShapeID="_x0000_i1027" DrawAspect="Content" ObjectID="_1468075725" r:id="rId20">
                  <o:LockedField>false</o:LockedField>
                </o:OLEObject>
              </w:object>
            </w:r>
          </w:p>
          <w:p>
            <w:pPr>
              <w:adjustRightInd w:val="0"/>
              <w:snapToGrid w:val="0"/>
              <w:spacing w:line="360" w:lineRule="auto"/>
              <w:jc w:val="center"/>
              <w:rPr>
                <w:b/>
                <w:sz w:val="24"/>
              </w:rPr>
            </w:pPr>
            <w:r>
              <w:rPr>
                <w:b/>
                <w:sz w:val="24"/>
              </w:rPr>
              <w:t>图1  一期工程采暖期水平衡图（m</w:t>
            </w:r>
            <w:r>
              <w:rPr>
                <w:b/>
                <w:sz w:val="24"/>
                <w:vertAlign w:val="superscript"/>
              </w:rPr>
              <w:t>3</w:t>
            </w:r>
            <w:r>
              <w:rPr>
                <w:b/>
                <w:sz w:val="24"/>
              </w:rPr>
              <w:t>/d）</w:t>
            </w:r>
          </w:p>
          <w:p>
            <w:pPr>
              <w:widowControl/>
              <w:jc w:val="center"/>
            </w:pPr>
            <w:r>
              <w:object>
                <v:shape id="_x0000_i1028" o:spt="75" type="#_x0000_t75" style="height:197.55pt;width:275.1pt;" o:ole="t" filled="f" o:preferrelative="t" stroked="f" coordsize="21600,21600">
                  <v:path/>
                  <v:fill on="f" focussize="0,0"/>
                  <v:stroke on="f" joinstyle="miter"/>
                  <v:imagedata r:id="rId23" o:title=""/>
                  <o:lock v:ext="edit" aspectratio="t"/>
                  <w10:wrap type="none"/>
                  <w10:anchorlock/>
                </v:shape>
                <o:OLEObject Type="Embed" ProgID="Visio.Drawing.11" ShapeID="_x0000_i1028" DrawAspect="Content" ObjectID="_1468075726" r:id="rId22">
                  <o:LockedField>false</o:LockedField>
                </o:OLEObject>
              </w:object>
            </w:r>
          </w:p>
          <w:p>
            <w:pPr>
              <w:adjustRightInd w:val="0"/>
              <w:snapToGrid w:val="0"/>
              <w:spacing w:line="360" w:lineRule="auto"/>
              <w:jc w:val="center"/>
              <w:rPr>
                <w:b/>
                <w:sz w:val="24"/>
              </w:rPr>
            </w:pPr>
            <w:r>
              <w:rPr>
                <w:b/>
                <w:sz w:val="24"/>
              </w:rPr>
              <w:t>图2  一期工程非采暖期水平衡图（m</w:t>
            </w:r>
            <w:r>
              <w:rPr>
                <w:b/>
                <w:sz w:val="24"/>
                <w:vertAlign w:val="superscript"/>
              </w:rPr>
              <w:t>3</w:t>
            </w:r>
            <w:r>
              <w:rPr>
                <w:b/>
                <w:sz w:val="24"/>
              </w:rPr>
              <w:t>/d）</w:t>
            </w:r>
          </w:p>
          <w:p>
            <w:pPr>
              <w:adjustRightInd w:val="0"/>
              <w:snapToGrid w:val="0"/>
              <w:spacing w:line="360" w:lineRule="auto"/>
              <w:ind w:firstLine="480" w:firstLineChars="200"/>
              <w:rPr>
                <w:bCs/>
                <w:sz w:val="24"/>
              </w:rPr>
            </w:pPr>
            <w:r>
              <w:rPr>
                <w:bCs/>
                <w:sz w:val="24"/>
              </w:rPr>
              <w:t>（2）二期工程</w:t>
            </w:r>
          </w:p>
          <w:p>
            <w:pPr>
              <w:adjustRightInd w:val="0"/>
              <w:snapToGrid w:val="0"/>
              <w:spacing w:line="360" w:lineRule="auto"/>
              <w:ind w:firstLine="480" w:firstLineChars="200"/>
              <w:rPr>
                <w:bCs/>
                <w:sz w:val="24"/>
              </w:rPr>
            </w:pPr>
            <w:r>
              <w:rPr>
                <w:bCs/>
                <w:sz w:val="24"/>
              </w:rPr>
              <w:t>1）给水</w:t>
            </w:r>
          </w:p>
          <w:p>
            <w:pPr>
              <w:adjustRightInd w:val="0"/>
              <w:snapToGrid w:val="0"/>
              <w:spacing w:line="360" w:lineRule="auto"/>
              <w:ind w:firstLine="480" w:firstLineChars="200"/>
              <w:rPr>
                <w:bCs/>
                <w:sz w:val="24"/>
              </w:rPr>
            </w:pPr>
            <w:r>
              <w:rPr>
                <w:bCs/>
                <w:sz w:val="24"/>
              </w:rPr>
              <w:t>项目生产和生活用水均来自留晖工业聚集区自来水管网供水，可满足本工程用水量需求。</w:t>
            </w:r>
          </w:p>
          <w:p>
            <w:pPr>
              <w:adjustRightInd w:val="0"/>
              <w:snapToGrid w:val="0"/>
              <w:spacing w:line="360" w:lineRule="auto"/>
              <w:ind w:firstLine="480" w:firstLineChars="200"/>
              <w:rPr>
                <w:bCs/>
                <w:sz w:val="24"/>
              </w:rPr>
            </w:pPr>
            <w:r>
              <w:rPr>
                <w:rFonts w:hint="eastAsia" w:ascii="宋体" w:hAnsi="宋体" w:cs="宋体"/>
                <w:bCs/>
                <w:sz w:val="24"/>
              </w:rPr>
              <w:t>①</w:t>
            </w:r>
            <w:r>
              <w:rPr>
                <w:bCs/>
                <w:sz w:val="24"/>
              </w:rPr>
              <w:t>生产用水</w:t>
            </w:r>
          </w:p>
          <w:p>
            <w:pPr>
              <w:adjustRightInd w:val="0"/>
              <w:snapToGrid w:val="0"/>
              <w:spacing w:line="360" w:lineRule="auto"/>
              <w:ind w:firstLine="480" w:firstLineChars="200"/>
              <w:rPr>
                <w:bCs/>
                <w:sz w:val="24"/>
              </w:rPr>
            </w:pPr>
            <w:r>
              <w:rPr>
                <w:bCs/>
                <w:sz w:val="24"/>
              </w:rPr>
              <w:t>本项目生产用水主要为乳化液配比用水。</w:t>
            </w:r>
          </w:p>
          <w:p>
            <w:pPr>
              <w:adjustRightInd w:val="0"/>
              <w:snapToGrid w:val="0"/>
              <w:spacing w:line="360" w:lineRule="auto"/>
              <w:ind w:firstLine="480" w:firstLineChars="200"/>
              <w:rPr>
                <w:bCs/>
                <w:sz w:val="24"/>
              </w:rPr>
            </w:pPr>
            <w:r>
              <w:rPr>
                <w:bCs/>
                <w:sz w:val="24"/>
              </w:rPr>
              <w:t>根据项目生产工艺，乳化液与水的配比比例为乳化液：水=1:3，乳化液年用量为200kg/a，则乳化液配比用水量为0.002m</w:t>
            </w:r>
            <w:r>
              <w:rPr>
                <w:bCs/>
                <w:sz w:val="24"/>
                <w:vertAlign w:val="superscript"/>
              </w:rPr>
              <w:t>3</w:t>
            </w:r>
            <w:r>
              <w:rPr>
                <w:bCs/>
                <w:sz w:val="24"/>
              </w:rPr>
              <w:t>/d（0.6m</w:t>
            </w:r>
            <w:r>
              <w:rPr>
                <w:bCs/>
                <w:sz w:val="24"/>
                <w:vertAlign w:val="superscript"/>
              </w:rPr>
              <w:t>3</w:t>
            </w:r>
            <w:r>
              <w:rPr>
                <w:bCs/>
                <w:sz w:val="24"/>
              </w:rPr>
              <w:t>/a）。</w:t>
            </w:r>
          </w:p>
          <w:p>
            <w:pPr>
              <w:adjustRightInd w:val="0"/>
              <w:snapToGrid w:val="0"/>
              <w:spacing w:line="360" w:lineRule="auto"/>
              <w:ind w:firstLine="480" w:firstLineChars="200"/>
              <w:rPr>
                <w:bCs/>
                <w:sz w:val="24"/>
              </w:rPr>
            </w:pPr>
            <w:r>
              <w:rPr>
                <w:bCs/>
                <w:sz w:val="24"/>
              </w:rPr>
              <w:t>尿素用量为</w:t>
            </w:r>
            <w:r>
              <w:rPr>
                <w:rFonts w:hint="eastAsia"/>
                <w:bCs/>
                <w:sz w:val="24"/>
              </w:rPr>
              <w:t>2.15t/a，配比用水为4.57m</w:t>
            </w:r>
            <w:r>
              <w:rPr>
                <w:rFonts w:hint="eastAsia"/>
                <w:bCs/>
                <w:sz w:val="24"/>
                <w:vertAlign w:val="superscript"/>
              </w:rPr>
              <w:t>3</w:t>
            </w:r>
            <w:r>
              <w:rPr>
                <w:rFonts w:hint="eastAsia"/>
                <w:bCs/>
                <w:sz w:val="24"/>
              </w:rPr>
              <w:t>/a（0.015m</w:t>
            </w:r>
            <w:r>
              <w:rPr>
                <w:rFonts w:hint="eastAsia"/>
                <w:bCs/>
                <w:sz w:val="24"/>
                <w:vertAlign w:val="superscript"/>
              </w:rPr>
              <w:t>3</w:t>
            </w:r>
            <w:r>
              <w:rPr>
                <w:rFonts w:hint="eastAsia"/>
                <w:bCs/>
                <w:sz w:val="24"/>
              </w:rPr>
              <w:t>/d）。</w:t>
            </w:r>
          </w:p>
          <w:p>
            <w:pPr>
              <w:adjustRightInd w:val="0"/>
              <w:snapToGrid w:val="0"/>
              <w:spacing w:line="360" w:lineRule="auto"/>
              <w:ind w:firstLine="480" w:firstLineChars="200"/>
              <w:rPr>
                <w:bCs/>
                <w:sz w:val="24"/>
              </w:rPr>
            </w:pPr>
            <w:r>
              <w:rPr>
                <w:rFonts w:hint="eastAsia" w:ascii="宋体" w:hAnsi="宋体" w:cs="宋体"/>
                <w:bCs/>
                <w:sz w:val="24"/>
              </w:rPr>
              <w:t>②</w:t>
            </w:r>
            <w:r>
              <w:rPr>
                <w:bCs/>
                <w:sz w:val="24"/>
              </w:rPr>
              <w:t>职工生活用水</w:t>
            </w:r>
          </w:p>
          <w:p>
            <w:pPr>
              <w:adjustRightInd w:val="0"/>
              <w:snapToGrid w:val="0"/>
              <w:spacing w:line="360" w:lineRule="auto"/>
              <w:ind w:firstLine="480" w:firstLineChars="200"/>
              <w:rPr>
                <w:sz w:val="24"/>
                <w:szCs w:val="32"/>
              </w:rPr>
            </w:pPr>
            <w:r>
              <w:rPr>
                <w:sz w:val="24"/>
                <w:szCs w:val="32"/>
              </w:rPr>
              <w:t>本项目二期工程新增15名员工，职工生活用水主要为洗漱用水，年工作日为</w:t>
            </w:r>
            <w:r>
              <w:rPr>
                <w:rFonts w:hint="eastAsia"/>
                <w:sz w:val="24"/>
                <w:szCs w:val="32"/>
              </w:rPr>
              <w:t>300</w:t>
            </w:r>
            <w:r>
              <w:rPr>
                <w:sz w:val="24"/>
                <w:szCs w:val="32"/>
              </w:rPr>
              <w:t>d，本次参照山西省质量技术监督局关于印发《山西省用水定额》（DB14/T 1048.3-202</w:t>
            </w:r>
            <w:r>
              <w:rPr>
                <w:rFonts w:hint="eastAsia"/>
                <w:sz w:val="24"/>
                <w:szCs w:val="32"/>
              </w:rPr>
              <w:t>1</w:t>
            </w:r>
            <w:r>
              <w:rPr>
                <w:sz w:val="24"/>
                <w:szCs w:val="32"/>
              </w:rPr>
              <w:t>）中的第3部分城镇生活用水定额，农村居民生活用水定额：通用值不大于70L/人·d，因厂区使用旱厕，故本次评价用水定额取30L/人·d，则二期工程职工生活新增用水量为0.45m</w:t>
            </w:r>
            <w:r>
              <w:rPr>
                <w:sz w:val="24"/>
                <w:szCs w:val="32"/>
                <w:vertAlign w:val="superscript"/>
              </w:rPr>
              <w:t>3</w:t>
            </w:r>
            <w:r>
              <w:rPr>
                <w:sz w:val="24"/>
                <w:szCs w:val="32"/>
              </w:rPr>
              <w:t>/d（</w:t>
            </w:r>
            <w:r>
              <w:rPr>
                <w:rFonts w:hint="eastAsia"/>
                <w:sz w:val="24"/>
                <w:szCs w:val="32"/>
              </w:rPr>
              <w:t>135</w:t>
            </w:r>
            <w:r>
              <w:rPr>
                <w:sz w:val="24"/>
                <w:szCs w:val="32"/>
              </w:rPr>
              <w:t>m</w:t>
            </w:r>
            <w:r>
              <w:rPr>
                <w:sz w:val="24"/>
                <w:szCs w:val="32"/>
                <w:vertAlign w:val="superscript"/>
              </w:rPr>
              <w:t>3</w:t>
            </w:r>
            <w:r>
              <w:rPr>
                <w:sz w:val="24"/>
                <w:szCs w:val="32"/>
              </w:rPr>
              <w:t>/a）。</w:t>
            </w:r>
          </w:p>
          <w:p>
            <w:pPr>
              <w:adjustRightInd w:val="0"/>
              <w:snapToGrid w:val="0"/>
              <w:spacing w:line="360" w:lineRule="auto"/>
              <w:ind w:firstLine="480" w:firstLineChars="200"/>
              <w:rPr>
                <w:bCs/>
                <w:sz w:val="24"/>
              </w:rPr>
            </w:pPr>
            <w:r>
              <w:rPr>
                <w:bCs/>
                <w:sz w:val="24"/>
              </w:rPr>
              <w:t>2）排水</w:t>
            </w:r>
          </w:p>
          <w:p>
            <w:pPr>
              <w:adjustRightInd w:val="0"/>
              <w:snapToGrid w:val="0"/>
              <w:spacing w:line="360" w:lineRule="auto"/>
              <w:ind w:firstLine="480" w:firstLineChars="200"/>
              <w:rPr>
                <w:bCs/>
                <w:sz w:val="24"/>
              </w:rPr>
            </w:pPr>
            <w:r>
              <w:rPr>
                <w:rFonts w:hint="eastAsia" w:ascii="宋体" w:hAnsi="宋体" w:cs="宋体"/>
                <w:bCs/>
                <w:sz w:val="24"/>
              </w:rPr>
              <w:t>①</w:t>
            </w:r>
            <w:r>
              <w:rPr>
                <w:bCs/>
                <w:sz w:val="24"/>
              </w:rPr>
              <w:t>生产废水</w:t>
            </w:r>
          </w:p>
          <w:p>
            <w:pPr>
              <w:adjustRightInd w:val="0"/>
              <w:snapToGrid w:val="0"/>
              <w:spacing w:line="360" w:lineRule="auto"/>
              <w:ind w:firstLine="480" w:firstLineChars="200"/>
              <w:rPr>
                <w:bCs/>
                <w:sz w:val="24"/>
              </w:rPr>
            </w:pPr>
            <w:r>
              <w:rPr>
                <w:bCs/>
                <w:sz w:val="24"/>
              </w:rPr>
              <w:t>本项目生产用水主要为乳化液的配置用水，其中乳化液的配置用水大都在机加工时随乳化液蒸发到空气中，部分随加工工件带走，设备保养时产生少量废乳化液，废乳化液以危废计，无生产废水产生。</w:t>
            </w:r>
          </w:p>
          <w:p>
            <w:pPr>
              <w:adjustRightInd w:val="0"/>
              <w:snapToGrid w:val="0"/>
              <w:spacing w:line="360" w:lineRule="auto"/>
              <w:ind w:firstLine="480" w:firstLineChars="200"/>
              <w:rPr>
                <w:bCs/>
                <w:sz w:val="24"/>
              </w:rPr>
            </w:pPr>
            <w:r>
              <w:rPr>
                <w:rFonts w:hint="eastAsia" w:ascii="宋体" w:hAnsi="宋体" w:cs="宋体"/>
                <w:bCs/>
                <w:sz w:val="24"/>
              </w:rPr>
              <w:t>②</w:t>
            </w:r>
            <w:r>
              <w:rPr>
                <w:bCs/>
                <w:sz w:val="24"/>
              </w:rPr>
              <w:t>生活污水</w:t>
            </w:r>
          </w:p>
          <w:p>
            <w:pPr>
              <w:adjustRightInd w:val="0"/>
              <w:snapToGrid w:val="0"/>
              <w:spacing w:line="360" w:lineRule="auto"/>
              <w:ind w:firstLine="480" w:firstLineChars="200"/>
              <w:rPr>
                <w:bCs/>
                <w:sz w:val="24"/>
              </w:rPr>
            </w:pPr>
            <w:r>
              <w:rPr>
                <w:bCs/>
                <w:sz w:val="24"/>
              </w:rPr>
              <w:t>生活污水按照用水量的80%计算，则职工生活污水量为0.</w:t>
            </w:r>
            <w:r>
              <w:rPr>
                <w:rFonts w:hint="eastAsia"/>
                <w:bCs/>
                <w:sz w:val="24"/>
              </w:rPr>
              <w:t>36</w:t>
            </w:r>
            <w:r>
              <w:rPr>
                <w:bCs/>
                <w:sz w:val="24"/>
              </w:rPr>
              <w:t>m</w:t>
            </w:r>
            <w:r>
              <w:rPr>
                <w:bCs/>
                <w:sz w:val="24"/>
                <w:vertAlign w:val="superscript"/>
              </w:rPr>
              <w:t>3</w:t>
            </w:r>
            <w:r>
              <w:rPr>
                <w:bCs/>
                <w:sz w:val="24"/>
              </w:rPr>
              <w:t>/d(</w:t>
            </w:r>
            <w:r>
              <w:rPr>
                <w:rFonts w:hint="eastAsia"/>
                <w:bCs/>
                <w:sz w:val="24"/>
              </w:rPr>
              <w:t>108</w:t>
            </w:r>
            <w:r>
              <w:rPr>
                <w:bCs/>
                <w:sz w:val="24"/>
              </w:rPr>
              <w:t>m</w:t>
            </w:r>
            <w:r>
              <w:rPr>
                <w:bCs/>
                <w:sz w:val="24"/>
                <w:vertAlign w:val="superscript"/>
              </w:rPr>
              <w:t>3</w:t>
            </w:r>
            <w:r>
              <w:rPr>
                <w:bCs/>
                <w:sz w:val="24"/>
              </w:rPr>
              <w:t>/a)。因其产生量较少，水质简单，洒水抑尘。</w:t>
            </w:r>
          </w:p>
          <w:p>
            <w:pPr>
              <w:adjustRightInd w:val="0"/>
              <w:snapToGrid w:val="0"/>
              <w:spacing w:line="360" w:lineRule="auto"/>
              <w:ind w:firstLine="480" w:firstLineChars="200"/>
              <w:rPr>
                <w:bCs/>
                <w:sz w:val="24"/>
              </w:rPr>
            </w:pPr>
            <w:r>
              <w:rPr>
                <w:bCs/>
                <w:sz w:val="24"/>
              </w:rPr>
              <w:t>本项目二期工程新增用水量及排水量一览表见表1</w:t>
            </w:r>
            <w:r>
              <w:rPr>
                <w:rFonts w:hint="eastAsia"/>
                <w:bCs/>
                <w:sz w:val="24"/>
              </w:rPr>
              <w:t>5</w:t>
            </w:r>
            <w:r>
              <w:rPr>
                <w:bCs/>
                <w:sz w:val="24"/>
              </w:rPr>
              <w:t>，水平衡图见图3。</w:t>
            </w:r>
          </w:p>
          <w:p>
            <w:pPr>
              <w:adjustRightInd w:val="0"/>
              <w:snapToGrid w:val="0"/>
              <w:spacing w:line="360" w:lineRule="auto"/>
              <w:jc w:val="center"/>
              <w:rPr>
                <w:b/>
                <w:szCs w:val="21"/>
              </w:rPr>
            </w:pPr>
            <w:r>
              <w:rPr>
                <w:b/>
                <w:szCs w:val="21"/>
              </w:rPr>
              <w:t>表</w:t>
            </w:r>
            <w:r>
              <w:rPr>
                <w:rFonts w:hint="eastAsia"/>
                <w:b/>
                <w:szCs w:val="21"/>
              </w:rPr>
              <w:t>10</w:t>
            </w:r>
            <w:r>
              <w:rPr>
                <w:b/>
                <w:szCs w:val="21"/>
              </w:rPr>
              <w:t xml:space="preserve">  二期工程新增用水量及排水量一览表</w:t>
            </w:r>
          </w:p>
          <w:tbl>
            <w:tblPr>
              <w:tblStyle w:val="1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35"/>
              <w:gridCol w:w="1581"/>
              <w:gridCol w:w="1274"/>
              <w:gridCol w:w="1526"/>
              <w:gridCol w:w="957"/>
              <w:gridCol w:w="794"/>
              <w:gridCol w:w="726"/>
              <w:gridCol w:w="7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320" w:type="dxa"/>
                  <w:gridSpan w:val="2"/>
                  <w:vMerge w:val="restart"/>
                  <w:vAlign w:val="center"/>
                </w:tcPr>
                <w:p>
                  <w:pPr>
                    <w:jc w:val="center"/>
                    <w:rPr>
                      <w:szCs w:val="21"/>
                    </w:rPr>
                  </w:pPr>
                  <w:r>
                    <w:rPr>
                      <w:szCs w:val="21"/>
                    </w:rPr>
                    <w:t>用水类型</w:t>
                  </w:r>
                </w:p>
              </w:tc>
              <w:tc>
                <w:tcPr>
                  <w:tcW w:w="1276" w:type="dxa"/>
                  <w:vMerge w:val="restart"/>
                  <w:vAlign w:val="center"/>
                </w:tcPr>
                <w:p>
                  <w:pPr>
                    <w:jc w:val="center"/>
                    <w:rPr>
                      <w:szCs w:val="21"/>
                    </w:rPr>
                  </w:pPr>
                  <w:r>
                    <w:rPr>
                      <w:szCs w:val="21"/>
                    </w:rPr>
                    <w:t>用水量指标</w:t>
                  </w:r>
                </w:p>
              </w:tc>
              <w:tc>
                <w:tcPr>
                  <w:tcW w:w="1528" w:type="dxa"/>
                  <w:vMerge w:val="restart"/>
                  <w:vAlign w:val="center"/>
                </w:tcPr>
                <w:p>
                  <w:pPr>
                    <w:jc w:val="center"/>
                    <w:rPr>
                      <w:szCs w:val="21"/>
                    </w:rPr>
                  </w:pPr>
                  <w:r>
                    <w:rPr>
                      <w:szCs w:val="21"/>
                    </w:rPr>
                    <w:t>数量</w:t>
                  </w:r>
                </w:p>
              </w:tc>
              <w:tc>
                <w:tcPr>
                  <w:tcW w:w="1742" w:type="dxa"/>
                  <w:gridSpan w:val="2"/>
                  <w:vAlign w:val="center"/>
                </w:tcPr>
                <w:p>
                  <w:pPr>
                    <w:jc w:val="center"/>
                    <w:rPr>
                      <w:szCs w:val="21"/>
                    </w:rPr>
                  </w:pPr>
                  <w:r>
                    <w:rPr>
                      <w:szCs w:val="21"/>
                    </w:rPr>
                    <w:t>用水量（m</w:t>
                  </w:r>
                  <w:r>
                    <w:rPr>
                      <w:szCs w:val="21"/>
                      <w:vertAlign w:val="superscript"/>
                    </w:rPr>
                    <w:t>3</w:t>
                  </w:r>
                  <w:r>
                    <w:rPr>
                      <w:szCs w:val="21"/>
                    </w:rPr>
                    <w:t>）</w:t>
                  </w:r>
                </w:p>
              </w:tc>
              <w:tc>
                <w:tcPr>
                  <w:tcW w:w="1448" w:type="dxa"/>
                  <w:gridSpan w:val="2"/>
                  <w:vAlign w:val="center"/>
                </w:tcPr>
                <w:p>
                  <w:pPr>
                    <w:jc w:val="center"/>
                    <w:rPr>
                      <w:szCs w:val="21"/>
                    </w:rPr>
                  </w:pPr>
                  <w:r>
                    <w:rPr>
                      <w:szCs w:val="21"/>
                    </w:rPr>
                    <w:t>排水量（m</w:t>
                  </w:r>
                  <w:r>
                    <w:rPr>
                      <w:szCs w:val="21"/>
                      <w:vertAlign w:val="superscript"/>
                    </w:rPr>
                    <w:t>3</w:t>
                  </w: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320" w:type="dxa"/>
                  <w:gridSpan w:val="2"/>
                  <w:vMerge w:val="continue"/>
                  <w:vAlign w:val="center"/>
                </w:tcPr>
                <w:p>
                  <w:pPr>
                    <w:jc w:val="center"/>
                    <w:rPr>
                      <w:szCs w:val="21"/>
                    </w:rPr>
                  </w:pPr>
                </w:p>
              </w:tc>
              <w:tc>
                <w:tcPr>
                  <w:tcW w:w="1276" w:type="dxa"/>
                  <w:vMerge w:val="continue"/>
                  <w:vAlign w:val="center"/>
                </w:tcPr>
                <w:p>
                  <w:pPr>
                    <w:jc w:val="center"/>
                    <w:rPr>
                      <w:szCs w:val="21"/>
                    </w:rPr>
                  </w:pPr>
                </w:p>
              </w:tc>
              <w:tc>
                <w:tcPr>
                  <w:tcW w:w="1528" w:type="dxa"/>
                  <w:vMerge w:val="continue"/>
                  <w:vAlign w:val="center"/>
                </w:tcPr>
                <w:p>
                  <w:pPr>
                    <w:jc w:val="center"/>
                    <w:rPr>
                      <w:szCs w:val="21"/>
                    </w:rPr>
                  </w:pPr>
                </w:p>
              </w:tc>
              <w:tc>
                <w:tcPr>
                  <w:tcW w:w="958" w:type="dxa"/>
                  <w:vAlign w:val="center"/>
                </w:tcPr>
                <w:p>
                  <w:pPr>
                    <w:jc w:val="center"/>
                    <w:rPr>
                      <w:szCs w:val="21"/>
                    </w:rPr>
                  </w:pPr>
                  <w:r>
                    <w:rPr>
                      <w:szCs w:val="21"/>
                    </w:rPr>
                    <w:t>日用</w:t>
                  </w:r>
                </w:p>
                <w:p>
                  <w:pPr>
                    <w:jc w:val="center"/>
                    <w:rPr>
                      <w:szCs w:val="21"/>
                    </w:rPr>
                  </w:pPr>
                  <w:r>
                    <w:rPr>
                      <w:szCs w:val="21"/>
                    </w:rPr>
                    <w:t>水量</w:t>
                  </w:r>
                </w:p>
              </w:tc>
              <w:tc>
                <w:tcPr>
                  <w:tcW w:w="784" w:type="dxa"/>
                  <w:vAlign w:val="center"/>
                </w:tcPr>
                <w:p>
                  <w:pPr>
                    <w:jc w:val="center"/>
                    <w:rPr>
                      <w:szCs w:val="21"/>
                    </w:rPr>
                  </w:pPr>
                  <w:r>
                    <w:rPr>
                      <w:szCs w:val="21"/>
                    </w:rPr>
                    <w:t>年用</w:t>
                  </w:r>
                </w:p>
                <w:p>
                  <w:pPr>
                    <w:jc w:val="center"/>
                    <w:rPr>
                      <w:szCs w:val="21"/>
                    </w:rPr>
                  </w:pPr>
                  <w:r>
                    <w:rPr>
                      <w:szCs w:val="21"/>
                    </w:rPr>
                    <w:t>水量</w:t>
                  </w:r>
                </w:p>
              </w:tc>
              <w:tc>
                <w:tcPr>
                  <w:tcW w:w="726" w:type="dxa"/>
                  <w:vAlign w:val="center"/>
                </w:tcPr>
                <w:p>
                  <w:pPr>
                    <w:jc w:val="center"/>
                    <w:rPr>
                      <w:szCs w:val="21"/>
                    </w:rPr>
                  </w:pPr>
                  <w:r>
                    <w:rPr>
                      <w:szCs w:val="21"/>
                    </w:rPr>
                    <w:t>日排</w:t>
                  </w:r>
                </w:p>
                <w:p>
                  <w:pPr>
                    <w:jc w:val="center"/>
                    <w:rPr>
                      <w:szCs w:val="21"/>
                    </w:rPr>
                  </w:pPr>
                  <w:r>
                    <w:rPr>
                      <w:szCs w:val="21"/>
                    </w:rPr>
                    <w:t>水量</w:t>
                  </w:r>
                </w:p>
              </w:tc>
              <w:tc>
                <w:tcPr>
                  <w:tcW w:w="722" w:type="dxa"/>
                  <w:vAlign w:val="center"/>
                </w:tcPr>
                <w:p>
                  <w:pPr>
                    <w:jc w:val="center"/>
                    <w:rPr>
                      <w:szCs w:val="21"/>
                    </w:rPr>
                  </w:pPr>
                  <w:r>
                    <w:rPr>
                      <w:szCs w:val="21"/>
                    </w:rPr>
                    <w:t>年排</w:t>
                  </w:r>
                </w:p>
                <w:p>
                  <w:pPr>
                    <w:jc w:val="center"/>
                    <w:rPr>
                      <w:szCs w:val="21"/>
                    </w:rPr>
                  </w:pPr>
                  <w:r>
                    <w:rPr>
                      <w:szCs w:val="21"/>
                    </w:rPr>
                    <w:t>水量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6" w:type="dxa"/>
                  <w:vAlign w:val="center"/>
                </w:tcPr>
                <w:p>
                  <w:pPr>
                    <w:jc w:val="center"/>
                    <w:rPr>
                      <w:szCs w:val="21"/>
                    </w:rPr>
                  </w:pPr>
                  <w:r>
                    <w:rPr>
                      <w:szCs w:val="21"/>
                    </w:rPr>
                    <w:t>1</w:t>
                  </w:r>
                </w:p>
              </w:tc>
              <w:tc>
                <w:tcPr>
                  <w:tcW w:w="1584" w:type="dxa"/>
                  <w:vAlign w:val="center"/>
                </w:tcPr>
                <w:p>
                  <w:pPr>
                    <w:jc w:val="center"/>
                    <w:rPr>
                      <w:spacing w:val="-6"/>
                      <w:szCs w:val="21"/>
                    </w:rPr>
                  </w:pPr>
                  <w:r>
                    <w:rPr>
                      <w:spacing w:val="-6"/>
                      <w:szCs w:val="21"/>
                    </w:rPr>
                    <w:t>职工生活用水</w:t>
                  </w:r>
                </w:p>
              </w:tc>
              <w:tc>
                <w:tcPr>
                  <w:tcW w:w="1276" w:type="dxa"/>
                  <w:vAlign w:val="center"/>
                </w:tcPr>
                <w:p>
                  <w:pPr>
                    <w:jc w:val="center"/>
                    <w:rPr>
                      <w:szCs w:val="21"/>
                    </w:rPr>
                  </w:pPr>
                  <w:r>
                    <w:rPr>
                      <w:szCs w:val="21"/>
                    </w:rPr>
                    <w:t>30L/人·d</w:t>
                  </w:r>
                </w:p>
              </w:tc>
              <w:tc>
                <w:tcPr>
                  <w:tcW w:w="1528" w:type="dxa"/>
                  <w:vAlign w:val="center"/>
                </w:tcPr>
                <w:p>
                  <w:pPr>
                    <w:jc w:val="center"/>
                    <w:rPr>
                      <w:szCs w:val="21"/>
                    </w:rPr>
                  </w:pPr>
                  <w:r>
                    <w:rPr>
                      <w:szCs w:val="21"/>
                    </w:rPr>
                    <w:t>15人</w:t>
                  </w:r>
                </w:p>
              </w:tc>
              <w:tc>
                <w:tcPr>
                  <w:tcW w:w="958" w:type="dxa"/>
                  <w:vAlign w:val="center"/>
                </w:tcPr>
                <w:p>
                  <w:pPr>
                    <w:jc w:val="center"/>
                    <w:rPr>
                      <w:szCs w:val="21"/>
                    </w:rPr>
                  </w:pPr>
                  <w:r>
                    <w:rPr>
                      <w:rFonts w:hint="eastAsia"/>
                      <w:szCs w:val="21"/>
                    </w:rPr>
                    <w:t>0.45</w:t>
                  </w:r>
                </w:p>
              </w:tc>
              <w:tc>
                <w:tcPr>
                  <w:tcW w:w="784" w:type="dxa"/>
                  <w:vAlign w:val="center"/>
                </w:tcPr>
                <w:p>
                  <w:pPr>
                    <w:jc w:val="center"/>
                    <w:rPr>
                      <w:szCs w:val="21"/>
                    </w:rPr>
                  </w:pPr>
                  <w:r>
                    <w:rPr>
                      <w:rFonts w:hint="eastAsia"/>
                      <w:szCs w:val="21"/>
                    </w:rPr>
                    <w:t>135</w:t>
                  </w:r>
                </w:p>
              </w:tc>
              <w:tc>
                <w:tcPr>
                  <w:tcW w:w="726" w:type="dxa"/>
                  <w:vAlign w:val="center"/>
                </w:tcPr>
                <w:p>
                  <w:pPr>
                    <w:jc w:val="center"/>
                    <w:rPr>
                      <w:szCs w:val="21"/>
                    </w:rPr>
                  </w:pPr>
                  <w:r>
                    <w:rPr>
                      <w:szCs w:val="21"/>
                    </w:rPr>
                    <w:t>0.</w:t>
                  </w:r>
                  <w:r>
                    <w:rPr>
                      <w:rFonts w:hint="eastAsia"/>
                      <w:szCs w:val="21"/>
                    </w:rPr>
                    <w:t>36</w:t>
                  </w:r>
                </w:p>
              </w:tc>
              <w:tc>
                <w:tcPr>
                  <w:tcW w:w="722" w:type="dxa"/>
                  <w:vAlign w:val="center"/>
                </w:tcPr>
                <w:p>
                  <w:pPr>
                    <w:jc w:val="center"/>
                    <w:rPr>
                      <w:szCs w:val="21"/>
                    </w:rPr>
                  </w:pPr>
                  <w:r>
                    <w:rPr>
                      <w:rFonts w:hint="eastAsia"/>
                      <w:szCs w:val="21"/>
                    </w:rPr>
                    <w:t>108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6" w:type="dxa"/>
                  <w:vAlign w:val="center"/>
                </w:tcPr>
                <w:p>
                  <w:pPr>
                    <w:jc w:val="center"/>
                    <w:rPr>
                      <w:szCs w:val="21"/>
                    </w:rPr>
                  </w:pPr>
                  <w:r>
                    <w:rPr>
                      <w:szCs w:val="21"/>
                    </w:rPr>
                    <w:t>2</w:t>
                  </w:r>
                </w:p>
              </w:tc>
              <w:tc>
                <w:tcPr>
                  <w:tcW w:w="1584" w:type="dxa"/>
                  <w:vAlign w:val="center"/>
                </w:tcPr>
                <w:p>
                  <w:pPr>
                    <w:jc w:val="center"/>
                    <w:rPr>
                      <w:szCs w:val="21"/>
                    </w:rPr>
                  </w:pPr>
                  <w:r>
                    <w:rPr>
                      <w:szCs w:val="21"/>
                    </w:rPr>
                    <w:t>乳化液</w:t>
                  </w:r>
                </w:p>
                <w:p>
                  <w:pPr>
                    <w:jc w:val="center"/>
                    <w:rPr>
                      <w:szCs w:val="21"/>
                    </w:rPr>
                  </w:pPr>
                  <w:r>
                    <w:rPr>
                      <w:szCs w:val="21"/>
                    </w:rPr>
                    <w:t>配比用水</w:t>
                  </w:r>
                </w:p>
              </w:tc>
              <w:tc>
                <w:tcPr>
                  <w:tcW w:w="1276" w:type="dxa"/>
                  <w:vAlign w:val="center"/>
                </w:tcPr>
                <w:p>
                  <w:pPr>
                    <w:jc w:val="center"/>
                    <w:rPr>
                      <w:szCs w:val="21"/>
                    </w:rPr>
                  </w:pPr>
                  <w:r>
                    <w:rPr>
                      <w:szCs w:val="21"/>
                    </w:rPr>
                    <w:t>乳化液：水=1：3</w:t>
                  </w:r>
                </w:p>
              </w:tc>
              <w:tc>
                <w:tcPr>
                  <w:tcW w:w="1528" w:type="dxa"/>
                  <w:vAlign w:val="center"/>
                </w:tcPr>
                <w:p>
                  <w:pPr>
                    <w:jc w:val="center"/>
                    <w:rPr>
                      <w:szCs w:val="21"/>
                    </w:rPr>
                  </w:pPr>
                  <w:r>
                    <w:rPr>
                      <w:szCs w:val="21"/>
                    </w:rPr>
                    <w:t>0.2</w:t>
                  </w:r>
                  <w:r>
                    <w:rPr>
                      <w:rFonts w:hint="eastAsia"/>
                      <w:szCs w:val="21"/>
                    </w:rPr>
                    <w:t>t</w:t>
                  </w:r>
                  <w:r>
                    <w:rPr>
                      <w:szCs w:val="21"/>
                    </w:rPr>
                    <w:t>/a</w:t>
                  </w:r>
                </w:p>
              </w:tc>
              <w:tc>
                <w:tcPr>
                  <w:tcW w:w="958" w:type="dxa"/>
                  <w:vAlign w:val="center"/>
                </w:tcPr>
                <w:p>
                  <w:pPr>
                    <w:jc w:val="center"/>
                    <w:rPr>
                      <w:szCs w:val="21"/>
                    </w:rPr>
                  </w:pPr>
                  <w:r>
                    <w:rPr>
                      <w:szCs w:val="21"/>
                    </w:rPr>
                    <w:t>0.002</w:t>
                  </w:r>
                </w:p>
              </w:tc>
              <w:tc>
                <w:tcPr>
                  <w:tcW w:w="784" w:type="dxa"/>
                  <w:vAlign w:val="center"/>
                </w:tcPr>
                <w:p>
                  <w:pPr>
                    <w:jc w:val="center"/>
                    <w:rPr>
                      <w:szCs w:val="21"/>
                    </w:rPr>
                  </w:pPr>
                  <w:r>
                    <w:rPr>
                      <w:szCs w:val="21"/>
                    </w:rPr>
                    <w:t>0.6</w:t>
                  </w:r>
                </w:p>
              </w:tc>
              <w:tc>
                <w:tcPr>
                  <w:tcW w:w="726" w:type="dxa"/>
                  <w:vAlign w:val="center"/>
                </w:tcPr>
                <w:p>
                  <w:pPr>
                    <w:jc w:val="center"/>
                    <w:rPr>
                      <w:szCs w:val="21"/>
                    </w:rPr>
                  </w:pPr>
                  <w:r>
                    <w:rPr>
                      <w:szCs w:val="21"/>
                    </w:rPr>
                    <w:t>/</w:t>
                  </w:r>
                </w:p>
              </w:tc>
              <w:tc>
                <w:tcPr>
                  <w:tcW w:w="722" w:type="dxa"/>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6" w:type="dxa"/>
                  <w:vAlign w:val="center"/>
                </w:tcPr>
                <w:p>
                  <w:pPr>
                    <w:jc w:val="center"/>
                    <w:rPr>
                      <w:szCs w:val="21"/>
                    </w:rPr>
                  </w:pPr>
                  <w:r>
                    <w:rPr>
                      <w:rFonts w:hint="eastAsia"/>
                      <w:szCs w:val="21"/>
                    </w:rPr>
                    <w:t>3</w:t>
                  </w:r>
                </w:p>
              </w:tc>
              <w:tc>
                <w:tcPr>
                  <w:tcW w:w="1584" w:type="dxa"/>
                  <w:vAlign w:val="center"/>
                </w:tcPr>
                <w:p>
                  <w:pPr>
                    <w:jc w:val="center"/>
                    <w:rPr>
                      <w:szCs w:val="21"/>
                    </w:rPr>
                  </w:pPr>
                  <w:r>
                    <w:rPr>
                      <w:szCs w:val="21"/>
                    </w:rPr>
                    <w:t>尿素配比用水</w:t>
                  </w:r>
                </w:p>
              </w:tc>
              <w:tc>
                <w:tcPr>
                  <w:tcW w:w="1276" w:type="dxa"/>
                  <w:vAlign w:val="center"/>
                </w:tcPr>
                <w:p>
                  <w:pPr>
                    <w:jc w:val="center"/>
                    <w:rPr>
                      <w:szCs w:val="21"/>
                    </w:rPr>
                  </w:pPr>
                  <w:r>
                    <w:rPr>
                      <w:rFonts w:hint="eastAsia"/>
                      <w:szCs w:val="21"/>
                    </w:rPr>
                    <w:t>32%尿素溶液</w:t>
                  </w:r>
                </w:p>
              </w:tc>
              <w:tc>
                <w:tcPr>
                  <w:tcW w:w="1528" w:type="dxa"/>
                  <w:vAlign w:val="center"/>
                </w:tcPr>
                <w:p>
                  <w:pPr>
                    <w:jc w:val="center"/>
                    <w:rPr>
                      <w:szCs w:val="21"/>
                    </w:rPr>
                  </w:pPr>
                  <w:r>
                    <w:rPr>
                      <w:rFonts w:hint="eastAsia"/>
                      <w:szCs w:val="21"/>
                    </w:rPr>
                    <w:t>2.15t/a</w:t>
                  </w:r>
                </w:p>
              </w:tc>
              <w:tc>
                <w:tcPr>
                  <w:tcW w:w="958" w:type="dxa"/>
                  <w:vAlign w:val="center"/>
                </w:tcPr>
                <w:p>
                  <w:pPr>
                    <w:jc w:val="center"/>
                    <w:rPr>
                      <w:szCs w:val="21"/>
                    </w:rPr>
                  </w:pPr>
                  <w:r>
                    <w:rPr>
                      <w:rFonts w:hint="eastAsia"/>
                      <w:szCs w:val="21"/>
                    </w:rPr>
                    <w:t>0.015</w:t>
                  </w:r>
                </w:p>
              </w:tc>
              <w:tc>
                <w:tcPr>
                  <w:tcW w:w="784" w:type="dxa"/>
                  <w:vAlign w:val="center"/>
                </w:tcPr>
                <w:p>
                  <w:pPr>
                    <w:jc w:val="center"/>
                    <w:rPr>
                      <w:szCs w:val="21"/>
                    </w:rPr>
                  </w:pPr>
                  <w:r>
                    <w:rPr>
                      <w:rFonts w:hint="eastAsia"/>
                      <w:szCs w:val="21"/>
                    </w:rPr>
                    <w:t>4.57</w:t>
                  </w:r>
                </w:p>
              </w:tc>
              <w:tc>
                <w:tcPr>
                  <w:tcW w:w="726" w:type="dxa"/>
                  <w:vAlign w:val="center"/>
                </w:tcPr>
                <w:p>
                  <w:pPr>
                    <w:jc w:val="center"/>
                    <w:rPr>
                      <w:szCs w:val="21"/>
                    </w:rPr>
                  </w:pPr>
                </w:p>
              </w:tc>
              <w:tc>
                <w:tcPr>
                  <w:tcW w:w="722" w:type="dxa"/>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6" w:type="dxa"/>
                  <w:vAlign w:val="center"/>
                </w:tcPr>
                <w:p>
                  <w:pPr>
                    <w:jc w:val="center"/>
                    <w:rPr>
                      <w:szCs w:val="21"/>
                    </w:rPr>
                  </w:pPr>
                  <w:r>
                    <w:rPr>
                      <w:szCs w:val="21"/>
                    </w:rPr>
                    <w:t>合计</w:t>
                  </w:r>
                </w:p>
              </w:tc>
              <w:tc>
                <w:tcPr>
                  <w:tcW w:w="1584" w:type="dxa"/>
                  <w:vAlign w:val="center"/>
                </w:tcPr>
                <w:p>
                  <w:pPr>
                    <w:jc w:val="center"/>
                    <w:rPr>
                      <w:szCs w:val="21"/>
                    </w:rPr>
                  </w:pPr>
                </w:p>
              </w:tc>
              <w:tc>
                <w:tcPr>
                  <w:tcW w:w="1276" w:type="dxa"/>
                  <w:vAlign w:val="center"/>
                </w:tcPr>
                <w:p>
                  <w:pPr>
                    <w:jc w:val="center"/>
                    <w:rPr>
                      <w:bCs/>
                      <w:szCs w:val="21"/>
                    </w:rPr>
                  </w:pPr>
                  <w:r>
                    <w:rPr>
                      <w:bCs/>
                      <w:szCs w:val="21"/>
                    </w:rPr>
                    <w:t>—</w:t>
                  </w:r>
                </w:p>
              </w:tc>
              <w:tc>
                <w:tcPr>
                  <w:tcW w:w="1528" w:type="dxa"/>
                  <w:vAlign w:val="center"/>
                </w:tcPr>
                <w:p>
                  <w:pPr>
                    <w:jc w:val="center"/>
                    <w:rPr>
                      <w:szCs w:val="21"/>
                    </w:rPr>
                  </w:pPr>
                  <w:r>
                    <w:rPr>
                      <w:bCs/>
                      <w:szCs w:val="21"/>
                    </w:rPr>
                    <w:t>—</w:t>
                  </w:r>
                </w:p>
              </w:tc>
              <w:tc>
                <w:tcPr>
                  <w:tcW w:w="958" w:type="dxa"/>
                  <w:vAlign w:val="center"/>
                </w:tcPr>
                <w:p>
                  <w:pPr>
                    <w:jc w:val="center"/>
                    <w:rPr>
                      <w:szCs w:val="21"/>
                    </w:rPr>
                  </w:pPr>
                  <w:r>
                    <w:rPr>
                      <w:rFonts w:hint="eastAsia"/>
                      <w:szCs w:val="21"/>
                    </w:rPr>
                    <w:t>0.467</w:t>
                  </w:r>
                </w:p>
              </w:tc>
              <w:tc>
                <w:tcPr>
                  <w:tcW w:w="784" w:type="dxa"/>
                  <w:vAlign w:val="center"/>
                </w:tcPr>
                <w:p>
                  <w:pPr>
                    <w:jc w:val="center"/>
                    <w:rPr>
                      <w:szCs w:val="21"/>
                    </w:rPr>
                  </w:pPr>
                  <w:r>
                    <w:rPr>
                      <w:rFonts w:hint="eastAsia"/>
                      <w:szCs w:val="21"/>
                    </w:rPr>
                    <w:t>140.17</w:t>
                  </w:r>
                </w:p>
              </w:tc>
              <w:tc>
                <w:tcPr>
                  <w:tcW w:w="726" w:type="dxa"/>
                  <w:vAlign w:val="center"/>
                </w:tcPr>
                <w:p>
                  <w:pPr>
                    <w:jc w:val="center"/>
                    <w:rPr>
                      <w:szCs w:val="21"/>
                    </w:rPr>
                  </w:pPr>
                  <w:r>
                    <w:rPr>
                      <w:rFonts w:hint="eastAsia"/>
                      <w:szCs w:val="21"/>
                    </w:rPr>
                    <w:t>0.36</w:t>
                  </w:r>
                </w:p>
              </w:tc>
              <w:tc>
                <w:tcPr>
                  <w:tcW w:w="722" w:type="dxa"/>
                  <w:vAlign w:val="center"/>
                </w:tcPr>
                <w:p>
                  <w:pPr>
                    <w:jc w:val="center"/>
                    <w:rPr>
                      <w:szCs w:val="21"/>
                    </w:rPr>
                  </w:pPr>
                  <w:r>
                    <w:rPr>
                      <w:rFonts w:hint="eastAsia"/>
                      <w:szCs w:val="21"/>
                    </w:rPr>
                    <w:t>108</w:t>
                  </w:r>
                </w:p>
              </w:tc>
            </w:tr>
          </w:tbl>
          <w:p>
            <w:pPr>
              <w:widowControl/>
              <w:jc w:val="center"/>
            </w:pPr>
            <w:r>
              <w:object>
                <v:shape id="_x0000_i1029" o:spt="75" type="#_x0000_t75" style="height:105.25pt;width:288pt;" o:ole="t" filled="f" o:preferrelative="t" stroked="f" coordsize="21600,21600">
                  <v:path/>
                  <v:fill on="f" focussize="0,0"/>
                  <v:stroke on="f" joinstyle="miter"/>
                  <v:imagedata r:id="rId25" o:title=""/>
                  <o:lock v:ext="edit" aspectratio="t"/>
                  <w10:wrap type="none"/>
                  <w10:anchorlock/>
                </v:shape>
                <o:OLEObject Type="Embed" ProgID="Visio.Drawing.11" ShapeID="_x0000_i1029" DrawAspect="Content" ObjectID="_1468075727" r:id="rId24">
                  <o:LockedField>false</o:LockedField>
                </o:OLEObject>
              </w:object>
            </w:r>
          </w:p>
          <w:p>
            <w:pPr>
              <w:adjustRightInd w:val="0"/>
              <w:snapToGrid w:val="0"/>
              <w:spacing w:line="360" w:lineRule="auto"/>
              <w:jc w:val="center"/>
              <w:rPr>
                <w:b/>
                <w:sz w:val="24"/>
              </w:rPr>
            </w:pPr>
            <w:r>
              <w:rPr>
                <w:b/>
                <w:sz w:val="24"/>
              </w:rPr>
              <w:t>图3  二期工程新增水平衡图（m</w:t>
            </w:r>
            <w:r>
              <w:rPr>
                <w:b/>
                <w:sz w:val="24"/>
                <w:vertAlign w:val="superscript"/>
              </w:rPr>
              <w:t>3</w:t>
            </w:r>
            <w:r>
              <w:rPr>
                <w:b/>
                <w:sz w:val="24"/>
              </w:rPr>
              <w:t>/d）</w:t>
            </w:r>
          </w:p>
          <w:p>
            <w:pPr>
              <w:adjustRightInd w:val="0"/>
              <w:snapToGrid w:val="0"/>
              <w:spacing w:line="360" w:lineRule="auto"/>
              <w:ind w:firstLine="480" w:firstLineChars="200"/>
              <w:rPr>
                <w:bCs/>
                <w:sz w:val="24"/>
              </w:rPr>
            </w:pPr>
            <w:r>
              <w:rPr>
                <w:bCs/>
                <w:sz w:val="24"/>
              </w:rPr>
              <w:t>（3）扩建完成后</w:t>
            </w:r>
          </w:p>
          <w:p>
            <w:pPr>
              <w:adjustRightInd w:val="0"/>
              <w:snapToGrid w:val="0"/>
              <w:spacing w:line="360" w:lineRule="auto"/>
              <w:ind w:firstLine="480" w:firstLineChars="200"/>
              <w:rPr>
                <w:bCs/>
                <w:sz w:val="24"/>
              </w:rPr>
            </w:pPr>
            <w:r>
              <w:rPr>
                <w:bCs/>
                <w:sz w:val="24"/>
              </w:rPr>
              <w:t>本项目扩建完成后用水量及排水量见下表。</w:t>
            </w:r>
          </w:p>
          <w:p>
            <w:pPr>
              <w:adjustRightInd w:val="0"/>
              <w:snapToGrid w:val="0"/>
              <w:spacing w:line="360" w:lineRule="auto"/>
              <w:jc w:val="center"/>
              <w:rPr>
                <w:b/>
                <w:szCs w:val="21"/>
              </w:rPr>
            </w:pPr>
            <w:r>
              <w:rPr>
                <w:b/>
                <w:szCs w:val="21"/>
              </w:rPr>
              <w:t>表</w:t>
            </w:r>
            <w:r>
              <w:rPr>
                <w:rFonts w:hint="eastAsia"/>
                <w:b/>
                <w:szCs w:val="21"/>
              </w:rPr>
              <w:t>11</w:t>
            </w:r>
            <w:r>
              <w:rPr>
                <w:b/>
                <w:szCs w:val="21"/>
              </w:rPr>
              <w:t xml:space="preserve">  扩建后用水量及排水量合计表</w:t>
            </w:r>
          </w:p>
          <w:tbl>
            <w:tblPr>
              <w:tblStyle w:val="1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03"/>
              <w:gridCol w:w="1868"/>
              <w:gridCol w:w="1385"/>
              <w:gridCol w:w="1387"/>
              <w:gridCol w:w="1385"/>
              <w:gridCol w:w="13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771" w:type="dxa"/>
                  <w:gridSpan w:val="2"/>
                  <w:vMerge w:val="restart"/>
                  <w:vAlign w:val="center"/>
                </w:tcPr>
                <w:p>
                  <w:pPr>
                    <w:adjustRightInd w:val="0"/>
                    <w:snapToGrid w:val="0"/>
                    <w:jc w:val="center"/>
                    <w:rPr>
                      <w:bCs/>
                      <w:szCs w:val="21"/>
                    </w:rPr>
                  </w:pPr>
                  <w:r>
                    <w:rPr>
                      <w:bCs/>
                      <w:szCs w:val="21"/>
                    </w:rPr>
                    <w:t>用水类型</w:t>
                  </w:r>
                </w:p>
              </w:tc>
              <w:tc>
                <w:tcPr>
                  <w:tcW w:w="2772" w:type="dxa"/>
                  <w:gridSpan w:val="2"/>
                  <w:vAlign w:val="center"/>
                </w:tcPr>
                <w:p>
                  <w:pPr>
                    <w:adjustRightInd w:val="0"/>
                    <w:snapToGrid w:val="0"/>
                    <w:jc w:val="center"/>
                    <w:rPr>
                      <w:bCs/>
                      <w:szCs w:val="21"/>
                    </w:rPr>
                  </w:pPr>
                  <w:r>
                    <w:rPr>
                      <w:bCs/>
                      <w:szCs w:val="21"/>
                    </w:rPr>
                    <w:t>用水量（m</w:t>
                  </w:r>
                  <w:r>
                    <w:rPr>
                      <w:bCs/>
                      <w:szCs w:val="21"/>
                      <w:vertAlign w:val="superscript"/>
                    </w:rPr>
                    <w:t>3</w:t>
                  </w:r>
                  <w:r>
                    <w:rPr>
                      <w:bCs/>
                      <w:szCs w:val="21"/>
                    </w:rPr>
                    <w:t>）</w:t>
                  </w:r>
                </w:p>
              </w:tc>
              <w:tc>
                <w:tcPr>
                  <w:tcW w:w="2771" w:type="dxa"/>
                  <w:gridSpan w:val="2"/>
                  <w:vAlign w:val="center"/>
                </w:tcPr>
                <w:p>
                  <w:pPr>
                    <w:adjustRightInd w:val="0"/>
                    <w:snapToGrid w:val="0"/>
                    <w:jc w:val="center"/>
                    <w:rPr>
                      <w:bCs/>
                      <w:szCs w:val="21"/>
                    </w:rPr>
                  </w:pPr>
                  <w:r>
                    <w:rPr>
                      <w:bCs/>
                      <w:szCs w:val="21"/>
                    </w:rPr>
                    <w:t>排水量（m</w:t>
                  </w:r>
                  <w:r>
                    <w:rPr>
                      <w:bCs/>
                      <w:szCs w:val="21"/>
                      <w:vertAlign w:val="superscript"/>
                    </w:rPr>
                    <w:t>3</w:t>
                  </w: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771" w:type="dxa"/>
                  <w:gridSpan w:val="2"/>
                  <w:vMerge w:val="continue"/>
                  <w:vAlign w:val="center"/>
                </w:tcPr>
                <w:p>
                  <w:pPr>
                    <w:adjustRightInd w:val="0"/>
                    <w:snapToGrid w:val="0"/>
                    <w:jc w:val="center"/>
                    <w:rPr>
                      <w:bCs/>
                      <w:szCs w:val="21"/>
                    </w:rPr>
                  </w:pPr>
                </w:p>
              </w:tc>
              <w:tc>
                <w:tcPr>
                  <w:tcW w:w="1385" w:type="dxa"/>
                  <w:vAlign w:val="center"/>
                </w:tcPr>
                <w:p>
                  <w:pPr>
                    <w:jc w:val="center"/>
                    <w:rPr>
                      <w:bCs/>
                      <w:szCs w:val="21"/>
                    </w:rPr>
                  </w:pPr>
                  <w:r>
                    <w:rPr>
                      <w:bCs/>
                      <w:szCs w:val="21"/>
                    </w:rPr>
                    <w:t>日用水量</w:t>
                  </w:r>
                </w:p>
              </w:tc>
              <w:tc>
                <w:tcPr>
                  <w:tcW w:w="1387" w:type="dxa"/>
                  <w:vAlign w:val="center"/>
                </w:tcPr>
                <w:p>
                  <w:pPr>
                    <w:jc w:val="center"/>
                    <w:rPr>
                      <w:bCs/>
                      <w:szCs w:val="21"/>
                    </w:rPr>
                  </w:pPr>
                  <w:r>
                    <w:rPr>
                      <w:bCs/>
                      <w:szCs w:val="21"/>
                    </w:rPr>
                    <w:t>年用水量</w:t>
                  </w:r>
                </w:p>
              </w:tc>
              <w:tc>
                <w:tcPr>
                  <w:tcW w:w="1385" w:type="dxa"/>
                  <w:vAlign w:val="center"/>
                </w:tcPr>
                <w:p>
                  <w:pPr>
                    <w:jc w:val="center"/>
                    <w:rPr>
                      <w:bCs/>
                      <w:szCs w:val="21"/>
                    </w:rPr>
                  </w:pPr>
                  <w:r>
                    <w:rPr>
                      <w:bCs/>
                      <w:szCs w:val="21"/>
                    </w:rPr>
                    <w:t>日排水量</w:t>
                  </w:r>
                </w:p>
              </w:tc>
              <w:tc>
                <w:tcPr>
                  <w:tcW w:w="1386" w:type="dxa"/>
                  <w:vAlign w:val="center"/>
                </w:tcPr>
                <w:p>
                  <w:pPr>
                    <w:jc w:val="center"/>
                    <w:rPr>
                      <w:bCs/>
                      <w:szCs w:val="21"/>
                    </w:rPr>
                  </w:pPr>
                  <w:r>
                    <w:rPr>
                      <w:bCs/>
                      <w:szCs w:val="21"/>
                    </w:rPr>
                    <w:t>年排水量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03" w:type="dxa"/>
                  <w:vAlign w:val="center"/>
                </w:tcPr>
                <w:p>
                  <w:pPr>
                    <w:adjustRightInd w:val="0"/>
                    <w:snapToGrid w:val="0"/>
                    <w:jc w:val="center"/>
                    <w:rPr>
                      <w:bCs/>
                      <w:szCs w:val="21"/>
                    </w:rPr>
                  </w:pPr>
                  <w:r>
                    <w:rPr>
                      <w:bCs/>
                      <w:szCs w:val="21"/>
                    </w:rPr>
                    <w:t>1</w:t>
                  </w:r>
                </w:p>
              </w:tc>
              <w:tc>
                <w:tcPr>
                  <w:tcW w:w="1868" w:type="dxa"/>
                  <w:vAlign w:val="center"/>
                </w:tcPr>
                <w:p>
                  <w:pPr>
                    <w:adjustRightInd w:val="0"/>
                    <w:snapToGrid w:val="0"/>
                    <w:jc w:val="center"/>
                    <w:rPr>
                      <w:bCs/>
                      <w:szCs w:val="21"/>
                    </w:rPr>
                  </w:pPr>
                  <w:r>
                    <w:rPr>
                      <w:bCs/>
                      <w:szCs w:val="21"/>
                    </w:rPr>
                    <w:t>职工生活用水</w:t>
                  </w:r>
                </w:p>
              </w:tc>
              <w:tc>
                <w:tcPr>
                  <w:tcW w:w="1385" w:type="dxa"/>
                  <w:vAlign w:val="center"/>
                </w:tcPr>
                <w:p>
                  <w:pPr>
                    <w:adjustRightInd w:val="0"/>
                    <w:snapToGrid w:val="0"/>
                    <w:jc w:val="center"/>
                    <w:rPr>
                      <w:bCs/>
                      <w:szCs w:val="21"/>
                    </w:rPr>
                  </w:pPr>
                  <w:r>
                    <w:rPr>
                      <w:bCs/>
                      <w:szCs w:val="21"/>
                    </w:rPr>
                    <w:t>0.9</w:t>
                  </w:r>
                </w:p>
              </w:tc>
              <w:tc>
                <w:tcPr>
                  <w:tcW w:w="1387" w:type="dxa"/>
                  <w:vAlign w:val="center"/>
                </w:tcPr>
                <w:p>
                  <w:pPr>
                    <w:adjustRightInd w:val="0"/>
                    <w:snapToGrid w:val="0"/>
                    <w:jc w:val="center"/>
                    <w:rPr>
                      <w:bCs/>
                      <w:szCs w:val="21"/>
                    </w:rPr>
                  </w:pPr>
                  <w:r>
                    <w:rPr>
                      <w:bCs/>
                      <w:szCs w:val="21"/>
                    </w:rPr>
                    <w:t>270</w:t>
                  </w:r>
                </w:p>
              </w:tc>
              <w:tc>
                <w:tcPr>
                  <w:tcW w:w="1385" w:type="dxa"/>
                  <w:vAlign w:val="center"/>
                </w:tcPr>
                <w:p>
                  <w:pPr>
                    <w:adjustRightInd w:val="0"/>
                    <w:snapToGrid w:val="0"/>
                    <w:jc w:val="center"/>
                    <w:rPr>
                      <w:bCs/>
                      <w:szCs w:val="21"/>
                    </w:rPr>
                  </w:pPr>
                  <w:r>
                    <w:rPr>
                      <w:bCs/>
                      <w:szCs w:val="21"/>
                    </w:rPr>
                    <w:t>0.72</w:t>
                  </w:r>
                </w:p>
              </w:tc>
              <w:tc>
                <w:tcPr>
                  <w:tcW w:w="1386" w:type="dxa"/>
                  <w:vAlign w:val="center"/>
                </w:tcPr>
                <w:p>
                  <w:pPr>
                    <w:adjustRightInd w:val="0"/>
                    <w:snapToGrid w:val="0"/>
                    <w:jc w:val="center"/>
                    <w:rPr>
                      <w:bCs/>
                      <w:szCs w:val="21"/>
                    </w:rPr>
                  </w:pPr>
                  <w:r>
                    <w:rPr>
                      <w:bCs/>
                      <w:szCs w:val="21"/>
                    </w:rPr>
                    <w:t>216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03" w:type="dxa"/>
                  <w:vAlign w:val="center"/>
                </w:tcPr>
                <w:p>
                  <w:pPr>
                    <w:adjustRightInd w:val="0"/>
                    <w:snapToGrid w:val="0"/>
                    <w:jc w:val="center"/>
                    <w:rPr>
                      <w:bCs/>
                      <w:szCs w:val="21"/>
                    </w:rPr>
                  </w:pPr>
                  <w:r>
                    <w:rPr>
                      <w:bCs/>
                      <w:szCs w:val="21"/>
                    </w:rPr>
                    <w:t>2</w:t>
                  </w:r>
                </w:p>
              </w:tc>
              <w:tc>
                <w:tcPr>
                  <w:tcW w:w="1868" w:type="dxa"/>
                  <w:vAlign w:val="center"/>
                </w:tcPr>
                <w:p>
                  <w:pPr>
                    <w:adjustRightInd w:val="0"/>
                    <w:snapToGrid w:val="0"/>
                    <w:jc w:val="center"/>
                    <w:rPr>
                      <w:bCs/>
                      <w:szCs w:val="21"/>
                    </w:rPr>
                  </w:pPr>
                  <w:r>
                    <w:rPr>
                      <w:bCs/>
                      <w:szCs w:val="21"/>
                    </w:rPr>
                    <w:t>乳化液配比用水</w:t>
                  </w:r>
                </w:p>
              </w:tc>
              <w:tc>
                <w:tcPr>
                  <w:tcW w:w="1385" w:type="dxa"/>
                  <w:vAlign w:val="center"/>
                </w:tcPr>
                <w:p>
                  <w:pPr>
                    <w:adjustRightInd w:val="0"/>
                    <w:snapToGrid w:val="0"/>
                    <w:jc w:val="center"/>
                    <w:rPr>
                      <w:bCs/>
                      <w:szCs w:val="21"/>
                    </w:rPr>
                  </w:pPr>
                  <w:r>
                    <w:rPr>
                      <w:bCs/>
                      <w:szCs w:val="21"/>
                    </w:rPr>
                    <w:t>0.003</w:t>
                  </w:r>
                </w:p>
              </w:tc>
              <w:tc>
                <w:tcPr>
                  <w:tcW w:w="1387" w:type="dxa"/>
                  <w:vAlign w:val="center"/>
                </w:tcPr>
                <w:p>
                  <w:pPr>
                    <w:adjustRightInd w:val="0"/>
                    <w:snapToGrid w:val="0"/>
                    <w:jc w:val="center"/>
                    <w:rPr>
                      <w:bCs/>
                      <w:szCs w:val="21"/>
                    </w:rPr>
                  </w:pPr>
                  <w:r>
                    <w:rPr>
                      <w:bCs/>
                      <w:szCs w:val="21"/>
                    </w:rPr>
                    <w:t>0.9</w:t>
                  </w:r>
                </w:p>
              </w:tc>
              <w:tc>
                <w:tcPr>
                  <w:tcW w:w="1385" w:type="dxa"/>
                  <w:vAlign w:val="center"/>
                </w:tcPr>
                <w:p>
                  <w:pPr>
                    <w:adjustRightInd w:val="0"/>
                    <w:snapToGrid w:val="0"/>
                    <w:jc w:val="center"/>
                    <w:rPr>
                      <w:bCs/>
                      <w:szCs w:val="21"/>
                    </w:rPr>
                  </w:pPr>
                  <w:r>
                    <w:rPr>
                      <w:bCs/>
                      <w:szCs w:val="21"/>
                    </w:rPr>
                    <w:t>/</w:t>
                  </w:r>
                </w:p>
              </w:tc>
              <w:tc>
                <w:tcPr>
                  <w:tcW w:w="1386" w:type="dxa"/>
                  <w:vAlign w:val="center"/>
                </w:tcPr>
                <w:p>
                  <w:pPr>
                    <w:adjustRightInd w:val="0"/>
                    <w:snapToGrid w:val="0"/>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03" w:type="dxa"/>
                  <w:vAlign w:val="center"/>
                </w:tcPr>
                <w:p>
                  <w:pPr>
                    <w:adjustRightInd w:val="0"/>
                    <w:snapToGrid w:val="0"/>
                    <w:jc w:val="center"/>
                    <w:rPr>
                      <w:bCs/>
                      <w:szCs w:val="21"/>
                    </w:rPr>
                  </w:pPr>
                  <w:r>
                    <w:rPr>
                      <w:rFonts w:hint="eastAsia"/>
                      <w:bCs/>
                      <w:szCs w:val="21"/>
                    </w:rPr>
                    <w:t>3</w:t>
                  </w:r>
                </w:p>
              </w:tc>
              <w:tc>
                <w:tcPr>
                  <w:tcW w:w="1868" w:type="dxa"/>
                  <w:vAlign w:val="center"/>
                </w:tcPr>
                <w:p>
                  <w:pPr>
                    <w:adjustRightInd w:val="0"/>
                    <w:snapToGrid w:val="0"/>
                    <w:jc w:val="center"/>
                    <w:rPr>
                      <w:bCs/>
                      <w:szCs w:val="21"/>
                    </w:rPr>
                  </w:pPr>
                  <w:r>
                    <w:rPr>
                      <w:bCs/>
                      <w:szCs w:val="21"/>
                    </w:rPr>
                    <w:t>尿素配比用水</w:t>
                  </w:r>
                </w:p>
              </w:tc>
              <w:tc>
                <w:tcPr>
                  <w:tcW w:w="1385" w:type="dxa"/>
                  <w:vAlign w:val="center"/>
                </w:tcPr>
                <w:p>
                  <w:pPr>
                    <w:adjustRightInd w:val="0"/>
                    <w:snapToGrid w:val="0"/>
                    <w:jc w:val="center"/>
                    <w:rPr>
                      <w:bCs/>
                      <w:szCs w:val="21"/>
                    </w:rPr>
                  </w:pPr>
                  <w:r>
                    <w:rPr>
                      <w:rFonts w:hint="eastAsia"/>
                      <w:bCs/>
                      <w:szCs w:val="21"/>
                    </w:rPr>
                    <w:t>0.026</w:t>
                  </w:r>
                </w:p>
              </w:tc>
              <w:tc>
                <w:tcPr>
                  <w:tcW w:w="1387" w:type="dxa"/>
                  <w:vAlign w:val="center"/>
                </w:tcPr>
                <w:p>
                  <w:pPr>
                    <w:adjustRightInd w:val="0"/>
                    <w:snapToGrid w:val="0"/>
                    <w:jc w:val="center"/>
                    <w:rPr>
                      <w:bCs/>
                      <w:szCs w:val="21"/>
                    </w:rPr>
                  </w:pPr>
                  <w:r>
                    <w:rPr>
                      <w:rFonts w:hint="eastAsia"/>
                      <w:bCs/>
                      <w:szCs w:val="21"/>
                    </w:rPr>
                    <w:t>8.0</w:t>
                  </w:r>
                </w:p>
              </w:tc>
              <w:tc>
                <w:tcPr>
                  <w:tcW w:w="1385" w:type="dxa"/>
                  <w:vAlign w:val="center"/>
                </w:tcPr>
                <w:p>
                  <w:pPr>
                    <w:adjustRightInd w:val="0"/>
                    <w:snapToGrid w:val="0"/>
                    <w:jc w:val="center"/>
                    <w:rPr>
                      <w:bCs/>
                      <w:szCs w:val="21"/>
                    </w:rPr>
                  </w:pPr>
                </w:p>
              </w:tc>
              <w:tc>
                <w:tcPr>
                  <w:tcW w:w="1386"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03" w:type="dxa"/>
                  <w:vAlign w:val="center"/>
                </w:tcPr>
                <w:p>
                  <w:pPr>
                    <w:adjustRightInd w:val="0"/>
                    <w:snapToGrid w:val="0"/>
                    <w:jc w:val="center"/>
                    <w:rPr>
                      <w:bCs/>
                      <w:szCs w:val="21"/>
                    </w:rPr>
                  </w:pPr>
                  <w:r>
                    <w:rPr>
                      <w:rFonts w:hint="eastAsia"/>
                      <w:bCs/>
                      <w:szCs w:val="21"/>
                    </w:rPr>
                    <w:t>4</w:t>
                  </w:r>
                </w:p>
              </w:tc>
              <w:tc>
                <w:tcPr>
                  <w:tcW w:w="1868" w:type="dxa"/>
                  <w:vAlign w:val="center"/>
                </w:tcPr>
                <w:p>
                  <w:pPr>
                    <w:adjustRightInd w:val="0"/>
                    <w:snapToGrid w:val="0"/>
                    <w:jc w:val="center"/>
                    <w:rPr>
                      <w:bCs/>
                      <w:szCs w:val="21"/>
                    </w:rPr>
                  </w:pPr>
                  <w:r>
                    <w:rPr>
                      <w:bCs/>
                      <w:szCs w:val="21"/>
                    </w:rPr>
                    <w:t>道路洒水</w:t>
                  </w:r>
                </w:p>
              </w:tc>
              <w:tc>
                <w:tcPr>
                  <w:tcW w:w="1385" w:type="dxa"/>
                  <w:vAlign w:val="center"/>
                </w:tcPr>
                <w:p>
                  <w:pPr>
                    <w:adjustRightInd w:val="0"/>
                    <w:snapToGrid w:val="0"/>
                    <w:jc w:val="center"/>
                    <w:rPr>
                      <w:bCs/>
                      <w:szCs w:val="21"/>
                    </w:rPr>
                  </w:pPr>
                  <w:r>
                    <w:rPr>
                      <w:bCs/>
                      <w:szCs w:val="21"/>
                    </w:rPr>
                    <w:t>0.5</w:t>
                  </w:r>
                </w:p>
              </w:tc>
              <w:tc>
                <w:tcPr>
                  <w:tcW w:w="1387" w:type="dxa"/>
                  <w:vAlign w:val="center"/>
                </w:tcPr>
                <w:p>
                  <w:pPr>
                    <w:adjustRightInd w:val="0"/>
                    <w:snapToGrid w:val="0"/>
                    <w:jc w:val="center"/>
                    <w:rPr>
                      <w:bCs/>
                      <w:szCs w:val="21"/>
                    </w:rPr>
                  </w:pPr>
                  <w:r>
                    <w:rPr>
                      <w:rFonts w:hint="eastAsia"/>
                      <w:bCs/>
                      <w:szCs w:val="21"/>
                    </w:rPr>
                    <w:t>90</w:t>
                  </w:r>
                </w:p>
              </w:tc>
              <w:tc>
                <w:tcPr>
                  <w:tcW w:w="1385" w:type="dxa"/>
                  <w:vAlign w:val="center"/>
                </w:tcPr>
                <w:p>
                  <w:pPr>
                    <w:adjustRightInd w:val="0"/>
                    <w:snapToGrid w:val="0"/>
                    <w:jc w:val="center"/>
                    <w:rPr>
                      <w:bCs/>
                      <w:szCs w:val="21"/>
                    </w:rPr>
                  </w:pPr>
                  <w:r>
                    <w:rPr>
                      <w:bCs/>
                      <w:szCs w:val="21"/>
                    </w:rPr>
                    <w:t>/</w:t>
                  </w:r>
                </w:p>
              </w:tc>
              <w:tc>
                <w:tcPr>
                  <w:tcW w:w="1386" w:type="dxa"/>
                  <w:vAlign w:val="center"/>
                </w:tcPr>
                <w:p>
                  <w:pPr>
                    <w:adjustRightInd w:val="0"/>
                    <w:snapToGrid w:val="0"/>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03" w:type="dxa"/>
                  <w:vAlign w:val="center"/>
                </w:tcPr>
                <w:p>
                  <w:pPr>
                    <w:adjustRightInd w:val="0"/>
                    <w:snapToGrid w:val="0"/>
                    <w:jc w:val="center"/>
                    <w:rPr>
                      <w:bCs/>
                      <w:szCs w:val="21"/>
                    </w:rPr>
                  </w:pPr>
                  <w:r>
                    <w:rPr>
                      <w:rFonts w:hint="eastAsia"/>
                      <w:bCs/>
                      <w:szCs w:val="21"/>
                    </w:rPr>
                    <w:t>5</w:t>
                  </w:r>
                </w:p>
              </w:tc>
              <w:tc>
                <w:tcPr>
                  <w:tcW w:w="1868" w:type="dxa"/>
                  <w:vAlign w:val="center"/>
                </w:tcPr>
                <w:p>
                  <w:pPr>
                    <w:adjustRightInd w:val="0"/>
                    <w:snapToGrid w:val="0"/>
                    <w:jc w:val="center"/>
                    <w:rPr>
                      <w:bCs/>
                      <w:szCs w:val="21"/>
                    </w:rPr>
                  </w:pPr>
                  <w:r>
                    <w:rPr>
                      <w:bCs/>
                      <w:szCs w:val="21"/>
                    </w:rPr>
                    <w:t>绿化用水</w:t>
                  </w:r>
                </w:p>
              </w:tc>
              <w:tc>
                <w:tcPr>
                  <w:tcW w:w="1385" w:type="dxa"/>
                  <w:vAlign w:val="center"/>
                </w:tcPr>
                <w:p>
                  <w:pPr>
                    <w:adjustRightInd w:val="0"/>
                    <w:snapToGrid w:val="0"/>
                    <w:jc w:val="center"/>
                    <w:rPr>
                      <w:bCs/>
                      <w:szCs w:val="21"/>
                    </w:rPr>
                  </w:pPr>
                  <w:r>
                    <w:rPr>
                      <w:rFonts w:hint="eastAsia"/>
                      <w:bCs/>
                      <w:szCs w:val="21"/>
                    </w:rPr>
                    <w:t>0.267</w:t>
                  </w:r>
                </w:p>
              </w:tc>
              <w:tc>
                <w:tcPr>
                  <w:tcW w:w="1387" w:type="dxa"/>
                  <w:vAlign w:val="center"/>
                </w:tcPr>
                <w:p>
                  <w:pPr>
                    <w:adjustRightInd w:val="0"/>
                    <w:snapToGrid w:val="0"/>
                    <w:jc w:val="center"/>
                    <w:rPr>
                      <w:bCs/>
                      <w:szCs w:val="21"/>
                    </w:rPr>
                  </w:pPr>
                  <w:r>
                    <w:rPr>
                      <w:bCs/>
                      <w:szCs w:val="21"/>
                    </w:rPr>
                    <w:t>48</w:t>
                  </w:r>
                </w:p>
              </w:tc>
              <w:tc>
                <w:tcPr>
                  <w:tcW w:w="1385" w:type="dxa"/>
                  <w:vAlign w:val="center"/>
                </w:tcPr>
                <w:p>
                  <w:pPr>
                    <w:adjustRightInd w:val="0"/>
                    <w:snapToGrid w:val="0"/>
                    <w:jc w:val="center"/>
                    <w:rPr>
                      <w:bCs/>
                      <w:szCs w:val="21"/>
                    </w:rPr>
                  </w:pPr>
                  <w:r>
                    <w:rPr>
                      <w:bCs/>
                      <w:szCs w:val="21"/>
                    </w:rPr>
                    <w:t>/</w:t>
                  </w:r>
                </w:p>
              </w:tc>
              <w:tc>
                <w:tcPr>
                  <w:tcW w:w="1386" w:type="dxa"/>
                  <w:vAlign w:val="center"/>
                </w:tcPr>
                <w:p>
                  <w:pPr>
                    <w:adjustRightInd w:val="0"/>
                    <w:snapToGrid w:val="0"/>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03" w:type="dxa"/>
                  <w:vMerge w:val="restart"/>
                  <w:vAlign w:val="center"/>
                </w:tcPr>
                <w:p>
                  <w:pPr>
                    <w:adjustRightInd w:val="0"/>
                    <w:snapToGrid w:val="0"/>
                    <w:jc w:val="center"/>
                    <w:rPr>
                      <w:bCs/>
                      <w:szCs w:val="21"/>
                    </w:rPr>
                  </w:pPr>
                  <w:r>
                    <w:rPr>
                      <w:bCs/>
                      <w:szCs w:val="21"/>
                    </w:rPr>
                    <w:t>合计</w:t>
                  </w:r>
                </w:p>
              </w:tc>
              <w:tc>
                <w:tcPr>
                  <w:tcW w:w="1868" w:type="dxa"/>
                  <w:vAlign w:val="center"/>
                </w:tcPr>
                <w:p>
                  <w:pPr>
                    <w:adjustRightInd w:val="0"/>
                    <w:snapToGrid w:val="0"/>
                    <w:jc w:val="center"/>
                    <w:rPr>
                      <w:bCs/>
                      <w:szCs w:val="21"/>
                    </w:rPr>
                  </w:pPr>
                  <w:r>
                    <w:rPr>
                      <w:bCs/>
                      <w:szCs w:val="21"/>
                    </w:rPr>
                    <w:t>非采暖季</w:t>
                  </w:r>
                </w:p>
              </w:tc>
              <w:tc>
                <w:tcPr>
                  <w:tcW w:w="1385" w:type="dxa"/>
                  <w:vAlign w:val="center"/>
                </w:tcPr>
                <w:p>
                  <w:pPr>
                    <w:adjustRightInd w:val="0"/>
                    <w:snapToGrid w:val="0"/>
                    <w:jc w:val="center"/>
                    <w:rPr>
                      <w:bCs/>
                      <w:szCs w:val="21"/>
                    </w:rPr>
                  </w:pPr>
                  <w:r>
                    <w:rPr>
                      <w:rFonts w:hint="eastAsia"/>
                      <w:bCs/>
                      <w:szCs w:val="21"/>
                    </w:rPr>
                    <w:t>1.696</w:t>
                  </w:r>
                </w:p>
              </w:tc>
              <w:tc>
                <w:tcPr>
                  <w:tcW w:w="1387" w:type="dxa"/>
                  <w:vAlign w:val="center"/>
                </w:tcPr>
                <w:p>
                  <w:pPr>
                    <w:adjustRightInd w:val="0"/>
                    <w:snapToGrid w:val="0"/>
                    <w:jc w:val="center"/>
                    <w:rPr>
                      <w:bCs/>
                      <w:szCs w:val="21"/>
                    </w:rPr>
                  </w:pPr>
                  <w:r>
                    <w:rPr>
                      <w:rFonts w:hint="eastAsia"/>
                      <w:bCs/>
                      <w:szCs w:val="21"/>
                    </w:rPr>
                    <w:t>305.34</w:t>
                  </w:r>
                </w:p>
              </w:tc>
              <w:tc>
                <w:tcPr>
                  <w:tcW w:w="1385" w:type="dxa"/>
                  <w:vAlign w:val="center"/>
                </w:tcPr>
                <w:p>
                  <w:pPr>
                    <w:adjustRightInd w:val="0"/>
                    <w:snapToGrid w:val="0"/>
                    <w:jc w:val="center"/>
                    <w:rPr>
                      <w:bCs/>
                      <w:szCs w:val="21"/>
                    </w:rPr>
                  </w:pPr>
                  <w:r>
                    <w:rPr>
                      <w:bCs/>
                      <w:szCs w:val="21"/>
                    </w:rPr>
                    <w:t>0.72</w:t>
                  </w:r>
                </w:p>
              </w:tc>
              <w:tc>
                <w:tcPr>
                  <w:tcW w:w="1386" w:type="dxa"/>
                  <w:vAlign w:val="center"/>
                </w:tcPr>
                <w:p>
                  <w:pPr>
                    <w:adjustRightInd w:val="0"/>
                    <w:snapToGrid w:val="0"/>
                    <w:jc w:val="center"/>
                    <w:rPr>
                      <w:bCs/>
                      <w:szCs w:val="21"/>
                    </w:rPr>
                  </w:pPr>
                  <w:r>
                    <w:rPr>
                      <w:rFonts w:hint="eastAsia"/>
                      <w:bCs/>
                      <w:szCs w:val="21"/>
                    </w:rPr>
                    <w:t>129.6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03" w:type="dxa"/>
                  <w:vMerge w:val="continue"/>
                  <w:vAlign w:val="center"/>
                </w:tcPr>
                <w:p>
                  <w:pPr>
                    <w:adjustRightInd w:val="0"/>
                    <w:snapToGrid w:val="0"/>
                    <w:jc w:val="center"/>
                    <w:rPr>
                      <w:bCs/>
                      <w:szCs w:val="21"/>
                    </w:rPr>
                  </w:pPr>
                </w:p>
              </w:tc>
              <w:tc>
                <w:tcPr>
                  <w:tcW w:w="1868" w:type="dxa"/>
                  <w:vAlign w:val="center"/>
                </w:tcPr>
                <w:p>
                  <w:pPr>
                    <w:adjustRightInd w:val="0"/>
                    <w:snapToGrid w:val="0"/>
                    <w:jc w:val="center"/>
                    <w:rPr>
                      <w:bCs/>
                      <w:szCs w:val="21"/>
                    </w:rPr>
                  </w:pPr>
                  <w:r>
                    <w:rPr>
                      <w:bCs/>
                      <w:szCs w:val="21"/>
                    </w:rPr>
                    <w:t>采暖季</w:t>
                  </w:r>
                </w:p>
              </w:tc>
              <w:tc>
                <w:tcPr>
                  <w:tcW w:w="1385" w:type="dxa"/>
                  <w:vAlign w:val="center"/>
                </w:tcPr>
                <w:p>
                  <w:pPr>
                    <w:adjustRightInd w:val="0"/>
                    <w:snapToGrid w:val="0"/>
                    <w:jc w:val="center"/>
                    <w:rPr>
                      <w:bCs/>
                      <w:szCs w:val="21"/>
                    </w:rPr>
                  </w:pPr>
                  <w:r>
                    <w:rPr>
                      <w:rFonts w:hint="eastAsia"/>
                      <w:bCs/>
                      <w:szCs w:val="21"/>
                    </w:rPr>
                    <w:t>0.929</w:t>
                  </w:r>
                </w:p>
              </w:tc>
              <w:tc>
                <w:tcPr>
                  <w:tcW w:w="1387" w:type="dxa"/>
                  <w:vAlign w:val="center"/>
                </w:tcPr>
                <w:p>
                  <w:pPr>
                    <w:adjustRightInd w:val="0"/>
                    <w:snapToGrid w:val="0"/>
                    <w:jc w:val="center"/>
                    <w:rPr>
                      <w:bCs/>
                      <w:szCs w:val="21"/>
                    </w:rPr>
                  </w:pPr>
                  <w:r>
                    <w:rPr>
                      <w:rFonts w:hint="eastAsia"/>
                      <w:bCs/>
                      <w:szCs w:val="21"/>
                    </w:rPr>
                    <w:t>111.56</w:t>
                  </w:r>
                </w:p>
              </w:tc>
              <w:tc>
                <w:tcPr>
                  <w:tcW w:w="1385" w:type="dxa"/>
                  <w:vAlign w:val="center"/>
                </w:tcPr>
                <w:p>
                  <w:pPr>
                    <w:adjustRightInd w:val="0"/>
                    <w:snapToGrid w:val="0"/>
                    <w:jc w:val="center"/>
                    <w:rPr>
                      <w:bCs/>
                      <w:szCs w:val="21"/>
                    </w:rPr>
                  </w:pPr>
                  <w:r>
                    <w:rPr>
                      <w:bCs/>
                      <w:szCs w:val="21"/>
                    </w:rPr>
                    <w:t>0.72</w:t>
                  </w:r>
                </w:p>
              </w:tc>
              <w:tc>
                <w:tcPr>
                  <w:tcW w:w="1386" w:type="dxa"/>
                  <w:vAlign w:val="center"/>
                </w:tcPr>
                <w:p>
                  <w:pPr>
                    <w:adjustRightInd w:val="0"/>
                    <w:snapToGrid w:val="0"/>
                    <w:jc w:val="center"/>
                    <w:rPr>
                      <w:bCs/>
                      <w:szCs w:val="21"/>
                    </w:rPr>
                  </w:pPr>
                  <w:r>
                    <w:rPr>
                      <w:rFonts w:hint="eastAsia"/>
                      <w:bCs/>
                      <w:szCs w:val="21"/>
                    </w:rPr>
                    <w:t>86.4</w:t>
                  </w:r>
                </w:p>
              </w:tc>
            </w:tr>
          </w:tbl>
          <w:p>
            <w:pPr>
              <w:widowControl/>
              <w:jc w:val="center"/>
            </w:pPr>
          </w:p>
          <w:p>
            <w:pPr>
              <w:widowControl/>
              <w:jc w:val="center"/>
            </w:pPr>
            <w:r>
              <w:object>
                <v:shape id="_x0000_i1030" o:spt="75" type="#_x0000_t75" style="height:111.7pt;width:302.75pt;" o:ole="t" filled="f" o:preferrelative="t" stroked="f" coordsize="21600,21600">
                  <v:path/>
                  <v:fill on="f" focussize="0,0"/>
                  <v:stroke on="f" joinstyle="miter"/>
                  <v:imagedata r:id="rId27" o:title=""/>
                  <o:lock v:ext="edit" aspectratio="t"/>
                  <w10:wrap type="none"/>
                  <w10:anchorlock/>
                </v:shape>
                <o:OLEObject Type="Embed" ProgID="Visio.Drawing.11" ShapeID="_x0000_i1030" DrawAspect="Content" ObjectID="_1468075728" r:id="rId26">
                  <o:LockedField>false</o:LockedField>
                </o:OLEObject>
              </w:object>
            </w:r>
          </w:p>
          <w:p>
            <w:pPr>
              <w:widowControl/>
              <w:jc w:val="center"/>
            </w:pPr>
          </w:p>
          <w:p>
            <w:pPr>
              <w:adjustRightInd w:val="0"/>
              <w:snapToGrid w:val="0"/>
              <w:spacing w:line="360" w:lineRule="auto"/>
              <w:jc w:val="center"/>
              <w:rPr>
                <w:b/>
                <w:sz w:val="24"/>
              </w:rPr>
            </w:pPr>
            <w:r>
              <w:rPr>
                <w:b/>
                <w:sz w:val="24"/>
              </w:rPr>
              <w:t>图4  扩建完成后工程采暖期水平衡图（m</w:t>
            </w:r>
            <w:r>
              <w:rPr>
                <w:b/>
                <w:sz w:val="24"/>
                <w:vertAlign w:val="superscript"/>
              </w:rPr>
              <w:t>3</w:t>
            </w:r>
            <w:r>
              <w:rPr>
                <w:b/>
                <w:sz w:val="24"/>
              </w:rPr>
              <w:t>/d）</w:t>
            </w:r>
          </w:p>
          <w:p>
            <w:pPr>
              <w:widowControl/>
              <w:jc w:val="center"/>
            </w:pPr>
            <w:r>
              <w:object>
                <v:shape id="_x0000_i1031" o:spt="75" type="#_x0000_t75" style="height:236.3pt;width:330.45pt;" o:ole="t" filled="f" o:preferrelative="t" stroked="f" coordsize="21600,21600">
                  <v:path/>
                  <v:fill on="f" focussize="0,0"/>
                  <v:stroke on="f" joinstyle="miter"/>
                  <v:imagedata r:id="rId29" o:title=""/>
                  <o:lock v:ext="edit" aspectratio="t"/>
                  <w10:wrap type="none"/>
                  <w10:anchorlock/>
                </v:shape>
                <o:OLEObject Type="Embed" ProgID="Visio.Drawing.11" ShapeID="_x0000_i1031" DrawAspect="Content" ObjectID="_1468075729" r:id="rId28">
                  <o:LockedField>false</o:LockedField>
                </o:OLEObject>
              </w:object>
            </w:r>
          </w:p>
          <w:p>
            <w:pPr>
              <w:adjustRightInd w:val="0"/>
              <w:snapToGrid w:val="0"/>
              <w:spacing w:line="360" w:lineRule="auto"/>
              <w:jc w:val="center"/>
              <w:rPr>
                <w:b/>
                <w:sz w:val="24"/>
              </w:rPr>
            </w:pPr>
            <w:r>
              <w:rPr>
                <w:b/>
                <w:sz w:val="24"/>
              </w:rPr>
              <w:t>图5  扩建完成后工程非采暖期水平衡图（m</w:t>
            </w:r>
            <w:r>
              <w:rPr>
                <w:b/>
                <w:sz w:val="24"/>
                <w:vertAlign w:val="superscript"/>
              </w:rPr>
              <w:t>3</w:t>
            </w:r>
            <w:r>
              <w:rPr>
                <w:b/>
                <w:sz w:val="24"/>
              </w:rPr>
              <w:t>/d）</w:t>
            </w:r>
          </w:p>
          <w:p>
            <w:pPr>
              <w:adjustRightInd w:val="0"/>
              <w:snapToGrid w:val="0"/>
              <w:spacing w:line="360" w:lineRule="auto"/>
              <w:jc w:val="center"/>
              <w:rPr>
                <w:b/>
                <w:szCs w:val="21"/>
              </w:rPr>
            </w:pPr>
          </w:p>
          <w:p>
            <w:pPr>
              <w:adjustRightInd w:val="0"/>
              <w:snapToGrid w:val="0"/>
              <w:spacing w:line="360" w:lineRule="auto"/>
              <w:ind w:firstLine="480" w:firstLineChars="200"/>
              <w:rPr>
                <w:bCs/>
                <w:sz w:val="24"/>
              </w:rPr>
            </w:pPr>
            <w:r>
              <w:rPr>
                <w:bCs/>
                <w:sz w:val="24"/>
              </w:rPr>
              <w:t>（4）供电</w:t>
            </w:r>
          </w:p>
          <w:p>
            <w:pPr>
              <w:adjustRightInd w:val="0"/>
              <w:snapToGrid w:val="0"/>
              <w:spacing w:line="360" w:lineRule="auto"/>
              <w:ind w:firstLine="480" w:firstLineChars="200"/>
              <w:rPr>
                <w:bCs/>
                <w:sz w:val="24"/>
              </w:rPr>
            </w:pPr>
            <w:r>
              <w:rPr>
                <w:bCs/>
                <w:sz w:val="24"/>
              </w:rPr>
              <w:t>供电电源来自留晖变电所。</w:t>
            </w:r>
          </w:p>
          <w:p>
            <w:pPr>
              <w:adjustRightInd w:val="0"/>
              <w:snapToGrid w:val="0"/>
              <w:spacing w:line="360" w:lineRule="auto"/>
              <w:ind w:firstLine="480" w:firstLineChars="200"/>
              <w:rPr>
                <w:bCs/>
                <w:sz w:val="24"/>
              </w:rPr>
            </w:pPr>
            <w:r>
              <w:rPr>
                <w:bCs/>
                <w:sz w:val="24"/>
              </w:rPr>
              <w:t>（5）供热</w:t>
            </w:r>
          </w:p>
          <w:p>
            <w:pPr>
              <w:adjustRightInd w:val="0"/>
              <w:snapToGrid w:val="0"/>
              <w:spacing w:line="360" w:lineRule="auto"/>
              <w:ind w:firstLine="480" w:firstLineChars="200"/>
              <w:rPr>
                <w:bCs/>
                <w:sz w:val="24"/>
              </w:rPr>
            </w:pPr>
            <w:r>
              <w:rPr>
                <w:bCs/>
                <w:sz w:val="24"/>
              </w:rPr>
              <w:t>冬季采用电暖气采暖。</w:t>
            </w:r>
          </w:p>
          <w:p>
            <w:pPr>
              <w:adjustRightInd w:val="0"/>
              <w:snapToGrid w:val="0"/>
              <w:spacing w:line="360" w:lineRule="auto"/>
              <w:ind w:firstLine="480" w:firstLineChars="200"/>
              <w:rPr>
                <w:bCs/>
                <w:sz w:val="24"/>
              </w:rPr>
            </w:pPr>
            <w:r>
              <w:rPr>
                <w:bCs/>
                <w:sz w:val="24"/>
              </w:rPr>
              <w:t>（6）供气</w:t>
            </w:r>
          </w:p>
          <w:p>
            <w:pPr>
              <w:adjustRightInd w:val="0"/>
              <w:snapToGrid w:val="0"/>
              <w:spacing w:line="360" w:lineRule="auto"/>
              <w:ind w:firstLine="480" w:firstLineChars="200"/>
              <w:rPr>
                <w:bCs/>
                <w:sz w:val="24"/>
              </w:rPr>
            </w:pPr>
            <w:r>
              <w:rPr>
                <w:bCs/>
                <w:sz w:val="24"/>
              </w:rPr>
              <w:t>本项目加热炉燃料为天然气，由山西国新定襄燃气有限公司供给。</w:t>
            </w:r>
          </w:p>
        </w:tc>
      </w:tr>
    </w:tbl>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6"/>
        <w:gridCol w:w="84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63" w:hRule="atLeast"/>
          <w:jc w:val="center"/>
        </w:trPr>
        <w:tc>
          <w:tcPr>
            <w:tcW w:w="496" w:type="dxa"/>
            <w:vAlign w:val="center"/>
          </w:tcPr>
          <w:p>
            <w:pPr>
              <w:pStyle w:val="10"/>
              <w:adjustRightInd w:val="0"/>
              <w:snapToGrid w:val="0"/>
              <w:spacing w:before="0" w:beforeAutospacing="0" w:after="0" w:afterAutospacing="0"/>
              <w:jc w:val="center"/>
              <w:rPr>
                <w:rFonts w:ascii="Times New Roman" w:hAnsi="Times New Roman" w:cs="Times New Roman"/>
                <w:szCs w:val="24"/>
              </w:rPr>
            </w:pPr>
            <w:r>
              <w:rPr>
                <w:rFonts w:ascii="Times New Roman" w:hAnsi="Times New Roman" w:cs="Times New Roman"/>
                <w:szCs w:val="24"/>
              </w:rPr>
              <w:t>工艺流程和产排污环节</w:t>
            </w:r>
          </w:p>
        </w:tc>
        <w:tc>
          <w:tcPr>
            <w:tcW w:w="8488" w:type="dxa"/>
          </w:tcPr>
          <w:p>
            <w:pPr>
              <w:spacing w:line="360" w:lineRule="auto"/>
              <w:rPr>
                <w:b/>
                <w:sz w:val="24"/>
              </w:rPr>
            </w:pPr>
            <w:r>
              <w:rPr>
                <w:b/>
                <w:sz w:val="24"/>
              </w:rPr>
              <w:t>工艺流程简述：</w:t>
            </w:r>
          </w:p>
          <w:p>
            <w:pPr>
              <w:spacing w:before="48" w:beforeLines="20" w:line="360" w:lineRule="auto"/>
              <w:ind w:firstLine="480" w:firstLineChars="200"/>
              <w:rPr>
                <w:color w:val="000000"/>
                <w:sz w:val="24"/>
                <w:szCs w:val="32"/>
              </w:rPr>
            </w:pPr>
            <w:r>
              <w:rPr>
                <w:color w:val="000000"/>
                <w:sz w:val="24"/>
                <w:szCs w:val="32"/>
              </w:rPr>
              <w:t>本项目生产工段主要为原料检验、加热炉加热、锻造、碾环成型、机加工等工序。</w:t>
            </w:r>
          </w:p>
          <w:p>
            <w:pPr>
              <w:spacing w:before="48" w:beforeLines="20" w:line="360" w:lineRule="auto"/>
              <w:ind w:firstLine="480" w:firstLineChars="200"/>
              <w:rPr>
                <w:color w:val="000000"/>
                <w:sz w:val="24"/>
                <w:szCs w:val="32"/>
              </w:rPr>
            </w:pPr>
            <w:r>
              <w:rPr>
                <w:color w:val="000000"/>
                <w:sz w:val="24"/>
                <w:szCs w:val="32"/>
              </w:rPr>
              <w:t>（1）原料检验下料</w:t>
            </w:r>
          </w:p>
          <w:p>
            <w:pPr>
              <w:spacing w:before="48" w:beforeLines="20" w:line="360" w:lineRule="auto"/>
              <w:ind w:firstLine="480" w:firstLineChars="200"/>
              <w:rPr>
                <w:color w:val="000000"/>
                <w:sz w:val="24"/>
                <w:szCs w:val="32"/>
              </w:rPr>
            </w:pPr>
            <w:r>
              <w:rPr>
                <w:color w:val="000000"/>
                <w:sz w:val="24"/>
                <w:szCs w:val="32"/>
              </w:rPr>
              <w:t>项目生产所需原料钢材进厂后，由检验人员对原料进行检测，检测不合格原料返回供应厂家，合格原料依据订单确定尺寸下料，下料主要是将原料经过锯切、加工成规定尺寸的毛坯。</w:t>
            </w:r>
          </w:p>
          <w:p>
            <w:pPr>
              <w:spacing w:before="48" w:beforeLines="20" w:line="360" w:lineRule="auto"/>
              <w:ind w:firstLine="480" w:firstLineChars="200"/>
              <w:rPr>
                <w:color w:val="000000"/>
                <w:sz w:val="24"/>
                <w:szCs w:val="32"/>
              </w:rPr>
            </w:pPr>
            <w:r>
              <w:rPr>
                <w:color w:val="000000"/>
                <w:sz w:val="24"/>
                <w:szCs w:val="32"/>
              </w:rPr>
              <w:t>（2）加热工段</w:t>
            </w:r>
          </w:p>
          <w:p>
            <w:pPr>
              <w:spacing w:before="48" w:beforeLines="20" w:line="360" w:lineRule="auto"/>
              <w:ind w:firstLine="480" w:firstLineChars="200"/>
              <w:rPr>
                <w:color w:val="000000"/>
                <w:sz w:val="24"/>
                <w:szCs w:val="32"/>
              </w:rPr>
            </w:pPr>
            <w:r>
              <w:rPr>
                <w:color w:val="000000"/>
                <w:sz w:val="24"/>
                <w:szCs w:val="32"/>
              </w:rPr>
              <w:t>下料工段生产的毛坯由叉车送至加热工段进行加热，项目加热采用天然气加热炉进行加热。加热炉使用自动测温控制系统，可及时控制炉温及坯料的加热速率，从而准确控制坯料的始锻温度和终锻温度，有效降低能耗。加热炉加热温度为1100～1200℃，加热时间以不同工件预定。将坯料加热到工艺所需温度，送至锻造工段。</w:t>
            </w:r>
          </w:p>
          <w:p>
            <w:pPr>
              <w:spacing w:before="48" w:beforeLines="20" w:line="360" w:lineRule="auto"/>
              <w:ind w:firstLine="480" w:firstLineChars="200"/>
              <w:rPr>
                <w:color w:val="000000"/>
                <w:sz w:val="24"/>
                <w:szCs w:val="32"/>
              </w:rPr>
            </w:pPr>
            <w:r>
              <w:rPr>
                <w:color w:val="000000"/>
                <w:sz w:val="24"/>
                <w:szCs w:val="32"/>
              </w:rPr>
              <w:t>本项目加热炉采用高效蓄热式高温空气燃烧技术（HTAC）即高效蓄热式燃烧和余热回收的技术，它具有高效烟气余热回收和预热空气温度以及噪音低、炉内温度均匀，过热过烧小等优越性，温度更易于控制，分离组合式燃烧器形成了各自独立通路，提高了每个区段的燃烧完全性，目前，这项技术已日趋成熟，处于大力推广阶段，得到了国际工业界和科学界的广泛关注，节能效果十分显著，拥有广阔的前景，</w:t>
            </w:r>
          </w:p>
          <w:p>
            <w:pPr>
              <w:spacing w:before="48" w:beforeLines="20" w:line="360" w:lineRule="auto"/>
              <w:ind w:firstLine="482" w:firstLineChars="200"/>
              <w:rPr>
                <w:b/>
                <w:color w:val="000000"/>
                <w:sz w:val="24"/>
                <w:szCs w:val="32"/>
              </w:rPr>
            </w:pPr>
            <w:r>
              <w:rPr>
                <w:b/>
                <w:color w:val="000000"/>
                <w:sz w:val="24"/>
                <w:szCs w:val="32"/>
              </w:rPr>
              <w:t>高效蓄热式高温空气燃烧技术</w:t>
            </w:r>
          </w:p>
          <w:p>
            <w:pPr>
              <w:spacing w:before="48" w:beforeLines="20" w:line="360" w:lineRule="auto"/>
              <w:ind w:firstLine="482" w:firstLineChars="200"/>
              <w:rPr>
                <w:bCs/>
                <w:color w:val="000000"/>
                <w:sz w:val="24"/>
                <w:szCs w:val="32"/>
              </w:rPr>
            </w:pPr>
            <w:r>
              <w:rPr>
                <w:b/>
                <w:color w:val="000000"/>
                <w:sz w:val="24"/>
                <w:szCs w:val="32"/>
              </w:rPr>
              <w:t>工作原理：</w:t>
            </w:r>
            <w:r>
              <w:rPr>
                <w:bCs/>
                <w:color w:val="000000"/>
                <w:sz w:val="24"/>
                <w:szCs w:val="32"/>
              </w:rPr>
              <w:t>蓄热式燃烧法是采用蓄热式热交换方式预热燃烧介质的燃烧方法。其基本原理是，利用多孔介质高效蓄热体作为高效换热器，通过周期性换向，使高温烟气和常温空气交替流经蓄热体，连续不断地吸热和放热，从而把高温烟气迅速冷却成低温烟气，并将常温空气加热到燃料的着火温度以上，进入燃烧室内燃烧，形成“超焓燃烧”。</w:t>
            </w:r>
          </w:p>
          <w:p>
            <w:pPr>
              <w:spacing w:before="48" w:beforeLines="20" w:line="360" w:lineRule="auto"/>
              <w:ind w:firstLine="480" w:firstLineChars="200"/>
              <w:rPr>
                <w:bCs/>
                <w:color w:val="000000"/>
                <w:sz w:val="24"/>
                <w:szCs w:val="32"/>
              </w:rPr>
            </w:pPr>
            <w:r>
              <w:rPr>
                <w:bCs/>
                <w:color w:val="000000"/>
                <w:sz w:val="24"/>
                <w:szCs w:val="32"/>
              </w:rPr>
              <w:t>技术参数：炉膛尺寸2300×2100×1300</w:t>
            </w:r>
          </w:p>
          <w:p>
            <w:pPr>
              <w:spacing w:before="48" w:beforeLines="20" w:line="360" w:lineRule="auto"/>
              <w:ind w:firstLine="480" w:firstLineChars="200"/>
              <w:rPr>
                <w:bCs/>
                <w:color w:val="000000"/>
                <w:sz w:val="24"/>
                <w:szCs w:val="32"/>
              </w:rPr>
            </w:pPr>
            <w:r>
              <w:rPr>
                <w:bCs/>
                <w:color w:val="000000"/>
                <w:sz w:val="24"/>
                <w:szCs w:val="32"/>
              </w:rPr>
              <w:t xml:space="preserve">          额定温度：650~1300℃</w:t>
            </w:r>
          </w:p>
          <w:p>
            <w:pPr>
              <w:spacing w:before="48" w:beforeLines="20" w:line="360" w:lineRule="auto"/>
              <w:ind w:firstLine="480" w:firstLineChars="200"/>
              <w:rPr>
                <w:bCs/>
                <w:color w:val="000000"/>
                <w:sz w:val="24"/>
                <w:szCs w:val="32"/>
              </w:rPr>
            </w:pPr>
            <w:r>
              <w:rPr>
                <w:bCs/>
                <w:color w:val="000000"/>
                <w:sz w:val="24"/>
                <w:szCs w:val="32"/>
              </w:rPr>
              <w:t xml:space="preserve">          装载量：5t</w:t>
            </w:r>
          </w:p>
          <w:p>
            <w:pPr>
              <w:spacing w:before="48" w:beforeLines="20" w:line="360" w:lineRule="auto"/>
              <w:ind w:firstLine="480" w:firstLineChars="200"/>
              <w:rPr>
                <w:bCs/>
                <w:color w:val="000000"/>
                <w:sz w:val="24"/>
                <w:szCs w:val="32"/>
              </w:rPr>
            </w:pPr>
            <w:r>
              <w:rPr>
                <w:bCs/>
                <w:color w:val="000000"/>
                <w:sz w:val="24"/>
                <w:szCs w:val="32"/>
              </w:rPr>
              <w:t xml:space="preserve">          烧嘴类型：蓄热式烧嘴</w:t>
            </w:r>
          </w:p>
          <w:p>
            <w:pPr>
              <w:spacing w:before="48" w:beforeLines="20" w:line="360" w:lineRule="auto"/>
              <w:ind w:firstLine="480" w:firstLineChars="200"/>
              <w:rPr>
                <w:bCs/>
                <w:color w:val="000000"/>
                <w:sz w:val="24"/>
                <w:szCs w:val="32"/>
              </w:rPr>
            </w:pPr>
            <w:r>
              <w:rPr>
                <w:bCs/>
                <w:color w:val="000000"/>
                <w:sz w:val="24"/>
                <w:szCs w:val="32"/>
              </w:rPr>
              <w:t>燃料类型：天然气</w:t>
            </w:r>
          </w:p>
          <w:p>
            <w:pPr>
              <w:spacing w:before="48" w:beforeLines="20" w:line="360" w:lineRule="auto"/>
              <w:ind w:firstLine="480" w:firstLineChars="200"/>
              <w:rPr>
                <w:bCs/>
                <w:color w:val="000000"/>
                <w:sz w:val="24"/>
                <w:szCs w:val="32"/>
              </w:rPr>
            </w:pPr>
            <w:r>
              <w:rPr>
                <w:bCs/>
                <w:color w:val="000000"/>
                <w:sz w:val="24"/>
                <w:szCs w:val="32"/>
              </w:rPr>
              <w:t>蓄热式加热炉的炉体结构如下图所示：</w:t>
            </w:r>
          </w:p>
          <w:p>
            <w:pPr>
              <w:spacing w:before="48" w:beforeLines="20" w:line="360" w:lineRule="auto"/>
              <w:jc w:val="center"/>
              <w:rPr>
                <w:bCs/>
                <w:color w:val="000000"/>
                <w:sz w:val="24"/>
                <w:szCs w:val="32"/>
              </w:rPr>
            </w:pPr>
            <w:r>
              <w:rPr>
                <w:color w:val="000000"/>
                <w:sz w:val="24"/>
                <w:szCs w:val="32"/>
                <w:lang w:bidi="mn-Mong-CN"/>
              </w:rPr>
              <w:drawing>
                <wp:inline distT="0" distB="0" distL="0" distR="0">
                  <wp:extent cx="3736340" cy="2609215"/>
                  <wp:effectExtent l="0" t="0" r="0" b="635"/>
                  <wp:docPr id="15" name="图片 15" descr="E:\8、定襄法兰\开会后找的资料\201103231513100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8、定襄法兰\开会后找的资料\201103231513100615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736340" cy="2609215"/>
                          </a:xfrm>
                          <a:prstGeom prst="rect">
                            <a:avLst/>
                          </a:prstGeom>
                          <a:noFill/>
                          <a:ln>
                            <a:noFill/>
                          </a:ln>
                        </pic:spPr>
                      </pic:pic>
                    </a:graphicData>
                  </a:graphic>
                </wp:inline>
              </w:drawing>
            </w:r>
          </w:p>
          <w:p>
            <w:pPr>
              <w:spacing w:before="48" w:beforeLines="20" w:line="360" w:lineRule="auto"/>
              <w:ind w:firstLine="480" w:firstLineChars="200"/>
              <w:rPr>
                <w:bCs/>
                <w:color w:val="000000"/>
                <w:sz w:val="24"/>
                <w:szCs w:val="32"/>
              </w:rPr>
            </w:pPr>
            <w:r>
              <w:rPr>
                <w:bCs/>
                <w:color w:val="000000"/>
                <w:sz w:val="24"/>
                <w:szCs w:val="32"/>
              </w:rPr>
              <w:t>高效蓄热式高温空气燃烧技术（HTAC）即高效蓄热式燃烧和余热回收的技术，它具有高效烟气余热回收和预热空气温度以及噪音低、炉内温度均匀，过热过烧小等优越性，温度更易于控制，分离组合式燃烧器形成了各自独立通路，提高了每个区段的燃烧完全性，目前，这项技术已日趋成熟，处于大力推广的阶段，得到了国际工业界和科学界的广泛关注，节能效果十分显著，拥有广阔的前景，采用高效蓄热式燃烧技术（HTAC）的优越性主要有：</w:t>
            </w:r>
          </w:p>
          <w:p>
            <w:pPr>
              <w:spacing w:before="48" w:beforeLines="20" w:line="360" w:lineRule="auto"/>
              <w:ind w:firstLine="480" w:firstLineChars="200"/>
              <w:rPr>
                <w:bCs/>
                <w:color w:val="000000"/>
                <w:sz w:val="24"/>
                <w:szCs w:val="32"/>
              </w:rPr>
            </w:pPr>
            <w:r>
              <w:rPr>
                <w:bCs/>
                <w:color w:val="000000"/>
                <w:sz w:val="24"/>
                <w:szCs w:val="32"/>
              </w:rPr>
              <w:fldChar w:fldCharType="begin"/>
            </w:r>
            <w:r>
              <w:rPr>
                <w:bCs/>
                <w:color w:val="000000"/>
                <w:sz w:val="24"/>
                <w:szCs w:val="32"/>
              </w:rPr>
              <w:instrText xml:space="preserve"> = 1 \* GB3 </w:instrText>
            </w:r>
            <w:r>
              <w:rPr>
                <w:bCs/>
                <w:color w:val="000000"/>
                <w:sz w:val="24"/>
                <w:szCs w:val="32"/>
              </w:rPr>
              <w:fldChar w:fldCharType="separate"/>
            </w:r>
            <w:r>
              <w:rPr>
                <w:rFonts w:hint="eastAsia" w:ascii="宋体" w:hAnsi="宋体" w:cs="宋体"/>
                <w:bCs/>
                <w:color w:val="000000"/>
                <w:sz w:val="24"/>
                <w:szCs w:val="32"/>
              </w:rPr>
              <w:t>①</w:t>
            </w:r>
            <w:r>
              <w:rPr>
                <w:color w:val="000000"/>
                <w:sz w:val="24"/>
                <w:szCs w:val="32"/>
              </w:rPr>
              <w:fldChar w:fldCharType="end"/>
            </w:r>
            <w:r>
              <w:rPr>
                <w:bCs/>
                <w:color w:val="000000"/>
                <w:sz w:val="24"/>
                <w:szCs w:val="32"/>
              </w:rPr>
              <w:t>余热回收率85%。</w:t>
            </w:r>
          </w:p>
          <w:p>
            <w:pPr>
              <w:spacing w:before="48" w:beforeLines="20" w:line="360" w:lineRule="auto"/>
              <w:ind w:firstLine="480" w:firstLineChars="200"/>
              <w:rPr>
                <w:bCs/>
                <w:color w:val="000000"/>
                <w:sz w:val="24"/>
                <w:szCs w:val="32"/>
              </w:rPr>
            </w:pPr>
            <w:r>
              <w:rPr>
                <w:bCs/>
                <w:color w:val="000000"/>
                <w:sz w:val="24"/>
                <w:szCs w:val="32"/>
              </w:rPr>
              <w:fldChar w:fldCharType="begin"/>
            </w:r>
            <w:r>
              <w:rPr>
                <w:bCs/>
                <w:color w:val="000000"/>
                <w:sz w:val="24"/>
                <w:szCs w:val="32"/>
              </w:rPr>
              <w:instrText xml:space="preserve"> = 2 \* GB3 </w:instrText>
            </w:r>
            <w:r>
              <w:rPr>
                <w:bCs/>
                <w:color w:val="000000"/>
                <w:sz w:val="24"/>
                <w:szCs w:val="32"/>
              </w:rPr>
              <w:fldChar w:fldCharType="separate"/>
            </w:r>
            <w:r>
              <w:rPr>
                <w:rFonts w:hint="eastAsia" w:ascii="宋体" w:hAnsi="宋体" w:cs="宋体"/>
                <w:bCs/>
                <w:color w:val="000000"/>
                <w:sz w:val="24"/>
                <w:szCs w:val="32"/>
              </w:rPr>
              <w:t>②</w:t>
            </w:r>
            <w:r>
              <w:rPr>
                <w:color w:val="000000"/>
                <w:sz w:val="24"/>
                <w:szCs w:val="32"/>
              </w:rPr>
              <w:fldChar w:fldCharType="end"/>
            </w:r>
            <w:r>
              <w:rPr>
                <w:bCs/>
                <w:color w:val="000000"/>
                <w:sz w:val="24"/>
                <w:szCs w:val="32"/>
              </w:rPr>
              <w:t>蓄热式技术为低氧燃烧，可减少炉气对锻件的氧化，过热烧损大大减少。</w:t>
            </w:r>
          </w:p>
          <w:p>
            <w:pPr>
              <w:spacing w:before="48" w:beforeLines="20" w:line="360" w:lineRule="auto"/>
              <w:ind w:firstLine="480" w:firstLineChars="200"/>
              <w:rPr>
                <w:bCs/>
                <w:color w:val="000000"/>
                <w:sz w:val="24"/>
                <w:szCs w:val="32"/>
              </w:rPr>
            </w:pPr>
            <w:r>
              <w:rPr>
                <w:bCs/>
                <w:color w:val="000000"/>
                <w:sz w:val="24"/>
                <w:szCs w:val="32"/>
              </w:rPr>
              <w:fldChar w:fldCharType="begin"/>
            </w:r>
            <w:r>
              <w:rPr>
                <w:bCs/>
                <w:color w:val="000000"/>
                <w:sz w:val="24"/>
                <w:szCs w:val="32"/>
              </w:rPr>
              <w:instrText xml:space="preserve"> = 3 \* GB3 </w:instrText>
            </w:r>
            <w:r>
              <w:rPr>
                <w:bCs/>
                <w:color w:val="000000"/>
                <w:sz w:val="24"/>
                <w:szCs w:val="32"/>
              </w:rPr>
              <w:fldChar w:fldCharType="separate"/>
            </w:r>
            <w:r>
              <w:rPr>
                <w:rFonts w:hint="eastAsia" w:ascii="宋体" w:hAnsi="宋体" w:cs="宋体"/>
                <w:bCs/>
                <w:color w:val="000000"/>
                <w:sz w:val="24"/>
                <w:szCs w:val="32"/>
              </w:rPr>
              <w:t>③</w:t>
            </w:r>
            <w:r>
              <w:rPr>
                <w:color w:val="000000"/>
                <w:sz w:val="24"/>
                <w:szCs w:val="32"/>
              </w:rPr>
              <w:fldChar w:fldCharType="end"/>
            </w:r>
            <w:r>
              <w:rPr>
                <w:bCs/>
                <w:color w:val="000000"/>
                <w:sz w:val="24"/>
                <w:szCs w:val="32"/>
              </w:rPr>
              <w:t>炉体升温时间快，大大缩短了开炉升温时间。</w:t>
            </w:r>
          </w:p>
          <w:p>
            <w:pPr>
              <w:spacing w:before="48" w:beforeLines="20" w:line="360" w:lineRule="auto"/>
              <w:ind w:firstLine="480" w:firstLineChars="200"/>
              <w:rPr>
                <w:bCs/>
                <w:color w:val="000000"/>
                <w:sz w:val="24"/>
                <w:szCs w:val="32"/>
              </w:rPr>
            </w:pPr>
            <w:r>
              <w:rPr>
                <w:bCs/>
                <w:color w:val="000000"/>
                <w:sz w:val="24"/>
                <w:szCs w:val="32"/>
              </w:rPr>
              <w:fldChar w:fldCharType="begin"/>
            </w:r>
            <w:r>
              <w:rPr>
                <w:bCs/>
                <w:color w:val="000000"/>
                <w:sz w:val="24"/>
                <w:szCs w:val="32"/>
              </w:rPr>
              <w:instrText xml:space="preserve"> = 4 \* GB3 </w:instrText>
            </w:r>
            <w:r>
              <w:rPr>
                <w:bCs/>
                <w:color w:val="000000"/>
                <w:sz w:val="24"/>
                <w:szCs w:val="32"/>
              </w:rPr>
              <w:fldChar w:fldCharType="separate"/>
            </w:r>
            <w:r>
              <w:rPr>
                <w:rFonts w:hint="eastAsia" w:ascii="宋体" w:hAnsi="宋体" w:cs="宋体"/>
                <w:bCs/>
                <w:color w:val="000000"/>
                <w:sz w:val="24"/>
                <w:szCs w:val="32"/>
              </w:rPr>
              <w:t>④</w:t>
            </w:r>
            <w:r>
              <w:rPr>
                <w:color w:val="000000"/>
                <w:sz w:val="24"/>
                <w:szCs w:val="32"/>
              </w:rPr>
              <w:fldChar w:fldCharType="end"/>
            </w:r>
            <w:r>
              <w:rPr>
                <w:bCs/>
                <w:color w:val="000000"/>
                <w:sz w:val="24"/>
                <w:szCs w:val="32"/>
              </w:rPr>
              <w:t>炉内火焰铺层性好，使工件加热均匀稳定，提高了加热质量，有自动监测火焰功能，操作方便，安全可靠，炉前操作条件优越，使用寿命比采用普通烧嘴培植金属换热器结构长，维护方便，维护量小。</w:t>
            </w:r>
          </w:p>
          <w:p>
            <w:pPr>
              <w:spacing w:before="48" w:beforeLines="20" w:line="360" w:lineRule="auto"/>
              <w:ind w:firstLine="480" w:firstLineChars="200"/>
              <w:rPr>
                <w:bCs/>
                <w:color w:val="000000"/>
                <w:sz w:val="24"/>
                <w:szCs w:val="32"/>
              </w:rPr>
            </w:pPr>
            <w:r>
              <w:rPr>
                <w:bCs/>
                <w:color w:val="000000"/>
                <w:sz w:val="24"/>
                <w:szCs w:val="32"/>
              </w:rPr>
              <w:fldChar w:fldCharType="begin"/>
            </w:r>
            <w:r>
              <w:rPr>
                <w:bCs/>
                <w:color w:val="000000"/>
                <w:sz w:val="24"/>
                <w:szCs w:val="32"/>
              </w:rPr>
              <w:instrText xml:space="preserve"> = 5 \* GB3 </w:instrText>
            </w:r>
            <w:r>
              <w:rPr>
                <w:bCs/>
                <w:color w:val="000000"/>
                <w:sz w:val="24"/>
                <w:szCs w:val="32"/>
              </w:rPr>
              <w:fldChar w:fldCharType="separate"/>
            </w:r>
            <w:r>
              <w:rPr>
                <w:rFonts w:hint="eastAsia" w:ascii="宋体" w:hAnsi="宋体" w:cs="宋体"/>
                <w:bCs/>
                <w:color w:val="000000"/>
                <w:sz w:val="24"/>
                <w:szCs w:val="32"/>
              </w:rPr>
              <w:t>⑤</w:t>
            </w:r>
            <w:r>
              <w:rPr>
                <w:color w:val="000000"/>
                <w:sz w:val="24"/>
                <w:szCs w:val="32"/>
              </w:rPr>
              <w:fldChar w:fldCharType="end"/>
            </w:r>
            <w:r>
              <w:rPr>
                <w:bCs/>
                <w:color w:val="000000"/>
                <w:sz w:val="24"/>
                <w:szCs w:val="32"/>
              </w:rPr>
              <w:t>采用蓄热式燃烧技术改变了还原炉加热方式，推动了锻造工业炉窑技术的发展，节约了能源。</w:t>
            </w:r>
          </w:p>
          <w:p>
            <w:pPr>
              <w:spacing w:before="48" w:beforeLines="20" w:line="360" w:lineRule="auto"/>
              <w:ind w:firstLine="480" w:firstLineChars="200"/>
              <w:rPr>
                <w:bCs/>
                <w:color w:val="000000"/>
                <w:sz w:val="24"/>
                <w:szCs w:val="32"/>
              </w:rPr>
            </w:pPr>
            <w:r>
              <w:rPr>
                <w:bCs/>
                <w:color w:val="000000"/>
                <w:sz w:val="24"/>
                <w:szCs w:val="32"/>
              </w:rPr>
              <w:t>本项目采用的天然气蓄热式锻造炉，工作原理：蓄热式加热炉是高效蓄热式换热器与常规加热炉的结合体，主要由加热炉炉体、蓄热室、换向系统以及燃料、供风和排烟系统构成。蓄热室是蓄热式加热炉烟气余热回收的主体，它是填满蓄热体的室状空间，是烟气和空气流动通道的一部分。蓄热式余热回收的优点炉温更加均匀，由于炉温分布均匀，加热质量大大改善，产品合格率大幅提高。</w:t>
            </w:r>
          </w:p>
          <w:p>
            <w:pPr>
              <w:spacing w:before="48" w:beforeLines="20" w:line="360" w:lineRule="auto"/>
              <w:ind w:firstLine="480" w:firstLineChars="200"/>
              <w:rPr>
                <w:color w:val="000000"/>
                <w:sz w:val="24"/>
                <w:szCs w:val="32"/>
              </w:rPr>
            </w:pPr>
            <w:r>
              <w:rPr>
                <w:color w:val="000000"/>
                <w:sz w:val="24"/>
                <w:szCs w:val="32"/>
              </w:rPr>
              <w:t>（3）锻造工段</w:t>
            </w:r>
          </w:p>
          <w:p>
            <w:pPr>
              <w:spacing w:before="48" w:beforeLines="20" w:line="360" w:lineRule="auto"/>
              <w:ind w:firstLine="480" w:firstLineChars="200"/>
              <w:rPr>
                <w:color w:val="000000"/>
                <w:sz w:val="24"/>
                <w:szCs w:val="32"/>
              </w:rPr>
            </w:pPr>
            <w:r>
              <w:rPr>
                <w:color w:val="000000"/>
                <w:sz w:val="24"/>
                <w:szCs w:val="32"/>
              </w:rPr>
              <w:t>锻造工段首先进行锻坯，采用锻造锤进行镦粗、冲孔，初步锻造冲孔完成后的锻件送入天然气加热炉再次加热，将加热好的坯料送至碾环机碾环成型。</w:t>
            </w:r>
          </w:p>
          <w:p>
            <w:pPr>
              <w:spacing w:before="48" w:beforeLines="20" w:line="360" w:lineRule="auto"/>
              <w:ind w:firstLine="480" w:firstLineChars="200"/>
              <w:rPr>
                <w:color w:val="000000"/>
                <w:sz w:val="24"/>
                <w:szCs w:val="32"/>
              </w:rPr>
            </w:pPr>
            <w:r>
              <w:rPr>
                <w:color w:val="000000"/>
                <w:sz w:val="24"/>
                <w:szCs w:val="32"/>
              </w:rPr>
              <w:t>（4）碾环成型</w:t>
            </w:r>
          </w:p>
          <w:p>
            <w:pPr>
              <w:spacing w:before="48" w:beforeLines="20" w:line="360" w:lineRule="auto"/>
              <w:ind w:firstLine="480" w:firstLineChars="200"/>
              <w:rPr>
                <w:color w:val="000000"/>
                <w:sz w:val="24"/>
                <w:szCs w:val="32"/>
              </w:rPr>
            </w:pPr>
            <w:r>
              <w:rPr>
                <w:color w:val="000000"/>
                <w:sz w:val="24"/>
                <w:szCs w:val="32"/>
              </w:rPr>
              <w:t>本项目采用数控碾环成型技术。碾环工艺是采用的新型高效节能新工艺，其主要特点为：</w:t>
            </w:r>
          </w:p>
          <w:p>
            <w:pPr>
              <w:spacing w:before="48" w:beforeLines="20" w:line="360" w:lineRule="auto"/>
              <w:ind w:firstLine="480" w:firstLineChars="200"/>
              <w:rPr>
                <w:color w:val="000000"/>
                <w:sz w:val="24"/>
                <w:szCs w:val="32"/>
              </w:rPr>
            </w:pPr>
            <w:r>
              <w:rPr>
                <w:rFonts w:hint="eastAsia" w:ascii="宋体" w:hAnsi="宋体" w:cs="宋体"/>
                <w:color w:val="000000"/>
                <w:sz w:val="24"/>
                <w:szCs w:val="32"/>
              </w:rPr>
              <w:t>①</w:t>
            </w:r>
            <w:r>
              <w:rPr>
                <w:color w:val="000000"/>
                <w:sz w:val="24"/>
                <w:szCs w:val="32"/>
              </w:rPr>
              <w:t>数控碾环机采用设计独特的组合模具，使工件加工余量很小，从而使钢材利用率大幅提高，节约原材料至少20%。</w:t>
            </w:r>
          </w:p>
          <w:p>
            <w:pPr>
              <w:spacing w:before="48" w:beforeLines="20" w:line="360" w:lineRule="auto"/>
              <w:ind w:firstLine="480" w:firstLineChars="200"/>
              <w:rPr>
                <w:color w:val="000000"/>
                <w:sz w:val="24"/>
                <w:szCs w:val="32"/>
              </w:rPr>
            </w:pPr>
            <w:r>
              <w:rPr>
                <w:rFonts w:hint="eastAsia" w:ascii="宋体" w:hAnsi="宋体" w:cs="宋体"/>
                <w:color w:val="000000"/>
                <w:sz w:val="24"/>
                <w:szCs w:val="32"/>
              </w:rPr>
              <w:t>②</w:t>
            </w:r>
            <w:r>
              <w:rPr>
                <w:color w:val="000000"/>
                <w:sz w:val="24"/>
                <w:szCs w:val="32"/>
              </w:rPr>
              <w:t>碾环机操作一次上机碾环成型，从而实现了短流程，高效节能，明显改善了产品的内部组织，提高了产品综合机械性能指标。</w:t>
            </w:r>
          </w:p>
          <w:p>
            <w:pPr>
              <w:spacing w:before="48" w:beforeLines="20" w:line="360" w:lineRule="auto"/>
              <w:ind w:firstLine="480" w:firstLineChars="200"/>
              <w:rPr>
                <w:color w:val="000000"/>
                <w:sz w:val="24"/>
                <w:szCs w:val="32"/>
              </w:rPr>
            </w:pPr>
            <w:r>
              <w:rPr>
                <w:rFonts w:hint="eastAsia" w:ascii="宋体" w:hAnsi="宋体" w:cs="宋体"/>
                <w:color w:val="000000"/>
                <w:sz w:val="24"/>
                <w:szCs w:val="32"/>
              </w:rPr>
              <w:t>③</w:t>
            </w:r>
            <w:r>
              <w:rPr>
                <w:color w:val="000000"/>
                <w:sz w:val="24"/>
                <w:szCs w:val="32"/>
              </w:rPr>
              <w:t>碾环机工艺技术参数全部由电脑自动化控制，产品质量稳定可靠。</w:t>
            </w:r>
          </w:p>
          <w:p>
            <w:pPr>
              <w:spacing w:before="48" w:beforeLines="20" w:line="360" w:lineRule="auto"/>
              <w:ind w:firstLine="480" w:firstLineChars="200"/>
              <w:rPr>
                <w:color w:val="000000"/>
                <w:sz w:val="24"/>
                <w:szCs w:val="32"/>
              </w:rPr>
            </w:pPr>
            <w:r>
              <w:rPr>
                <w:color w:val="000000"/>
                <w:sz w:val="24"/>
                <w:szCs w:val="32"/>
              </w:rPr>
              <w:t>碾环机为项目的主要工艺设备之一，主要特点有：</w:t>
            </w:r>
          </w:p>
          <w:p>
            <w:pPr>
              <w:spacing w:before="48" w:beforeLines="20" w:line="360" w:lineRule="auto"/>
              <w:ind w:firstLine="480" w:firstLineChars="200"/>
              <w:rPr>
                <w:color w:val="000000"/>
                <w:sz w:val="24"/>
                <w:szCs w:val="32"/>
              </w:rPr>
            </w:pPr>
            <w:r>
              <w:rPr>
                <w:color w:val="000000"/>
                <w:sz w:val="24"/>
                <w:szCs w:val="32"/>
              </w:rPr>
              <w:t>a、采用径向碾制原理，锻件端面平直，棱角清晰。</w:t>
            </w:r>
          </w:p>
          <w:p>
            <w:pPr>
              <w:spacing w:before="48" w:beforeLines="20" w:line="360" w:lineRule="auto"/>
              <w:ind w:firstLine="480" w:firstLineChars="200"/>
              <w:rPr>
                <w:color w:val="000000"/>
                <w:sz w:val="24"/>
                <w:szCs w:val="32"/>
              </w:rPr>
            </w:pPr>
            <w:r>
              <w:rPr>
                <w:color w:val="000000"/>
                <w:sz w:val="24"/>
                <w:szCs w:val="32"/>
              </w:rPr>
              <w:t>b、采用数控技术，锻件尺寸精度高。</w:t>
            </w:r>
          </w:p>
          <w:p>
            <w:pPr>
              <w:spacing w:before="48" w:beforeLines="20" w:line="360" w:lineRule="auto"/>
              <w:ind w:firstLine="480" w:firstLineChars="200"/>
              <w:rPr>
                <w:color w:val="000000"/>
                <w:sz w:val="24"/>
                <w:szCs w:val="32"/>
              </w:rPr>
            </w:pPr>
            <w:r>
              <w:rPr>
                <w:color w:val="000000"/>
                <w:sz w:val="24"/>
                <w:szCs w:val="32"/>
              </w:rPr>
              <w:t>c、数控系统由计算机可编程控制等组成，通过分辨彩显，可对整个碾制过程实现适时监控，并直观显示碾制过程的工艺曲线。</w:t>
            </w:r>
          </w:p>
          <w:p>
            <w:pPr>
              <w:spacing w:before="48" w:beforeLines="20" w:line="360" w:lineRule="auto"/>
              <w:ind w:firstLine="480" w:firstLineChars="200"/>
              <w:rPr>
                <w:color w:val="000000"/>
                <w:sz w:val="24"/>
                <w:szCs w:val="32"/>
              </w:rPr>
            </w:pPr>
            <w:r>
              <w:rPr>
                <w:color w:val="000000"/>
                <w:sz w:val="24"/>
                <w:szCs w:val="32"/>
              </w:rPr>
              <w:t>锻造碾环工段完成后的锻件经自然冷却后送入机加工车间进行精加工。</w:t>
            </w:r>
          </w:p>
          <w:p>
            <w:pPr>
              <w:spacing w:before="48" w:beforeLines="20" w:line="360" w:lineRule="auto"/>
              <w:ind w:firstLine="480" w:firstLineChars="200"/>
              <w:rPr>
                <w:color w:val="000000"/>
                <w:sz w:val="24"/>
                <w:szCs w:val="32"/>
              </w:rPr>
            </w:pPr>
            <w:r>
              <w:rPr>
                <w:color w:val="000000"/>
                <w:sz w:val="24"/>
                <w:szCs w:val="32"/>
              </w:rPr>
              <w:t>（5）机加工</w:t>
            </w:r>
          </w:p>
          <w:p>
            <w:pPr>
              <w:spacing w:before="48" w:beforeLines="20" w:line="360" w:lineRule="auto"/>
              <w:ind w:firstLine="480" w:firstLineChars="200"/>
              <w:rPr>
                <w:color w:val="000000"/>
                <w:sz w:val="24"/>
                <w:szCs w:val="32"/>
              </w:rPr>
            </w:pPr>
            <w:r>
              <w:rPr>
                <w:color w:val="000000"/>
                <w:sz w:val="24"/>
                <w:szCs w:val="32"/>
              </w:rPr>
              <w:t xml:space="preserve">机加工车间时法兰生产过程中的重要部门，主要是对锻件进行深加工，以达到法兰产品精确度的要求，项目产品全部为法兰盘，只是型号规格不同。 </w:t>
            </w:r>
          </w:p>
          <w:p>
            <w:pPr>
              <w:spacing w:before="48" w:beforeLines="20" w:line="360" w:lineRule="auto"/>
              <w:ind w:firstLine="480" w:firstLineChars="200"/>
              <w:rPr>
                <w:color w:val="000000"/>
                <w:sz w:val="24"/>
                <w:szCs w:val="32"/>
              </w:rPr>
            </w:pPr>
            <w:r>
              <w:rPr>
                <w:color w:val="000000"/>
                <w:sz w:val="24"/>
                <w:szCs w:val="32"/>
              </w:rPr>
              <w:t>车床日常运行过程中，为了冷却、润滑刀具和工件，需要使用一定量的机油和乳化液，因此，在机加工车间会产生一定量的废乳化液、废机油等危险废物。</w:t>
            </w:r>
          </w:p>
          <w:p>
            <w:pPr>
              <w:spacing w:before="48" w:beforeLines="20" w:line="360" w:lineRule="auto"/>
              <w:ind w:firstLine="480" w:firstLineChars="200"/>
              <w:rPr>
                <w:color w:val="000000"/>
                <w:sz w:val="24"/>
                <w:szCs w:val="32"/>
              </w:rPr>
            </w:pPr>
            <w:r>
              <w:rPr>
                <w:color w:val="000000"/>
                <w:sz w:val="24"/>
                <w:szCs w:val="32"/>
              </w:rPr>
              <w:t>（6）检验、外售</w:t>
            </w:r>
          </w:p>
          <w:p>
            <w:pPr>
              <w:spacing w:line="360" w:lineRule="auto"/>
              <w:ind w:firstLine="480" w:firstLineChars="200"/>
              <w:rPr>
                <w:color w:val="000000"/>
                <w:sz w:val="24"/>
                <w:szCs w:val="32"/>
              </w:rPr>
            </w:pPr>
            <w:r>
              <w:rPr>
                <w:color w:val="000000"/>
                <w:sz w:val="24"/>
                <w:szCs w:val="32"/>
              </w:rPr>
              <w:t>项目检验的指标主要是法兰盘的外形尺寸、表面质量、硬度、内部缺陷、力学性能、化学成分和耐酸蚀检验等是否符合法兰标准及客户要求，可根据用户的需求对其中几项进行抽验，并出具检验报告，对检验不合格产品返回生产下料工序，检验合格产品进行外售。</w:t>
            </w:r>
          </w:p>
          <w:p>
            <w:pPr>
              <w:adjustRightInd w:val="0"/>
              <w:snapToGrid w:val="0"/>
              <w:jc w:val="center"/>
            </w:pPr>
            <w:r>
              <w:object>
                <v:shape id="_x0000_i1032" o:spt="75" type="#_x0000_t75" style="height:472.6pt;width:412.6pt;" o:ole="t" filled="f" o:preferrelative="t" stroked="f" coordsize="21600,21600">
                  <v:path/>
                  <v:fill on="f" focussize="0,0"/>
                  <v:stroke on="f" joinstyle="miter"/>
                  <v:imagedata r:id="rId32" o:title=""/>
                  <o:lock v:ext="edit" aspectratio="t"/>
                  <w10:wrap type="none"/>
                  <w10:anchorlock/>
                </v:shape>
                <o:OLEObject Type="Embed" ProgID="Visio.Drawing.11" ShapeID="_x0000_i1032" DrawAspect="Content" ObjectID="_1468075730" r:id="rId31">
                  <o:LockedField>false</o:LockedField>
                </o:OLEObject>
              </w:object>
            </w:r>
          </w:p>
          <w:p>
            <w:pPr>
              <w:adjustRightInd w:val="0"/>
              <w:snapToGrid w:val="0"/>
              <w:spacing w:line="360" w:lineRule="auto"/>
              <w:jc w:val="center"/>
              <w:rPr>
                <w:b/>
                <w:sz w:val="24"/>
              </w:rPr>
            </w:pPr>
            <w:r>
              <w:rPr>
                <w:b/>
                <w:sz w:val="24"/>
              </w:rPr>
              <w:t>图7  运营期工艺流程及产污环节示意图</w:t>
            </w:r>
          </w:p>
          <w:p>
            <w:pPr>
              <w:adjustRightInd w:val="0"/>
              <w:snapToGrid w:val="0"/>
              <w:spacing w:line="360" w:lineRule="auto"/>
              <w:rPr>
                <w:b/>
                <w:sz w:val="24"/>
              </w:rPr>
            </w:pPr>
            <w:r>
              <w:rPr>
                <w:b/>
                <w:sz w:val="24"/>
              </w:rPr>
              <w:t>主要产排污环节：</w:t>
            </w:r>
          </w:p>
          <w:p>
            <w:pPr>
              <w:spacing w:before="48" w:beforeLines="20" w:line="360" w:lineRule="auto"/>
              <w:ind w:firstLine="480" w:firstLineChars="200"/>
              <w:rPr>
                <w:color w:val="000000"/>
                <w:sz w:val="24"/>
              </w:rPr>
            </w:pPr>
            <w:r>
              <w:rPr>
                <w:color w:val="000000"/>
                <w:sz w:val="24"/>
              </w:rPr>
              <w:t>1、废气</w:t>
            </w:r>
          </w:p>
          <w:p>
            <w:pPr>
              <w:spacing w:before="48" w:beforeLines="20" w:line="360" w:lineRule="auto"/>
              <w:ind w:firstLine="480" w:firstLineChars="200"/>
              <w:rPr>
                <w:color w:val="000000"/>
                <w:sz w:val="24"/>
              </w:rPr>
            </w:pPr>
            <w:r>
              <w:rPr>
                <w:color w:val="000000"/>
                <w:sz w:val="24"/>
              </w:rPr>
              <w:t>G1天然气加热炉燃烧天然气产生的废气</w:t>
            </w:r>
          </w:p>
          <w:p>
            <w:pPr>
              <w:spacing w:before="48" w:beforeLines="20" w:line="360" w:lineRule="auto"/>
              <w:ind w:firstLine="480" w:firstLineChars="200"/>
              <w:rPr>
                <w:color w:val="000000"/>
                <w:sz w:val="24"/>
              </w:rPr>
            </w:pPr>
            <w:r>
              <w:rPr>
                <w:color w:val="000000"/>
                <w:sz w:val="24"/>
              </w:rPr>
              <w:t>2、废水</w:t>
            </w:r>
          </w:p>
          <w:p>
            <w:pPr>
              <w:spacing w:before="48" w:beforeLines="20" w:line="360" w:lineRule="auto"/>
              <w:ind w:firstLine="480" w:firstLineChars="200"/>
              <w:rPr>
                <w:color w:val="000000"/>
                <w:sz w:val="24"/>
              </w:rPr>
            </w:pPr>
            <w:r>
              <w:rPr>
                <w:color w:val="000000"/>
                <w:sz w:val="24"/>
              </w:rPr>
              <w:t>W1职工产生的的废水</w:t>
            </w:r>
          </w:p>
          <w:p>
            <w:pPr>
              <w:spacing w:before="48" w:beforeLines="20" w:line="360" w:lineRule="auto"/>
              <w:ind w:firstLine="480" w:firstLineChars="200"/>
              <w:rPr>
                <w:color w:val="000000"/>
                <w:sz w:val="24"/>
              </w:rPr>
            </w:pPr>
            <w:r>
              <w:rPr>
                <w:color w:val="000000"/>
                <w:sz w:val="24"/>
              </w:rPr>
              <w:t>3、固体废物</w:t>
            </w:r>
          </w:p>
          <w:p>
            <w:pPr>
              <w:spacing w:before="48" w:beforeLines="20" w:line="360" w:lineRule="auto"/>
              <w:ind w:firstLine="480" w:firstLineChars="200"/>
              <w:rPr>
                <w:color w:val="000000"/>
                <w:sz w:val="24"/>
              </w:rPr>
            </w:pPr>
            <w:r>
              <w:rPr>
                <w:color w:val="000000"/>
                <w:sz w:val="24"/>
              </w:rPr>
              <w:t>S1生产过程中产生的废铁屑、废边角料、氧化铁皮</w:t>
            </w:r>
          </w:p>
          <w:p>
            <w:pPr>
              <w:spacing w:before="48" w:beforeLines="20" w:line="360" w:lineRule="auto"/>
              <w:ind w:firstLine="480" w:firstLineChars="200"/>
              <w:rPr>
                <w:color w:val="000000"/>
                <w:sz w:val="24"/>
              </w:rPr>
            </w:pPr>
            <w:r>
              <w:rPr>
                <w:color w:val="000000"/>
                <w:sz w:val="24"/>
              </w:rPr>
              <w:t>S2机加工车间产生的废乳化液、废机油</w:t>
            </w:r>
          </w:p>
          <w:p>
            <w:pPr>
              <w:spacing w:before="48" w:beforeLines="20" w:line="360" w:lineRule="auto"/>
              <w:ind w:firstLine="480" w:firstLineChars="200"/>
              <w:rPr>
                <w:color w:val="000000"/>
                <w:sz w:val="24"/>
              </w:rPr>
            </w:pPr>
            <w:r>
              <w:rPr>
                <w:color w:val="000000"/>
                <w:sz w:val="24"/>
              </w:rPr>
              <w:t>S3生活垃圾</w:t>
            </w:r>
          </w:p>
          <w:p>
            <w:pPr>
              <w:spacing w:before="48" w:beforeLines="20" w:line="360" w:lineRule="auto"/>
              <w:ind w:firstLine="480" w:firstLineChars="200"/>
              <w:rPr>
                <w:color w:val="000000"/>
                <w:sz w:val="24"/>
              </w:rPr>
            </w:pPr>
            <w:r>
              <w:rPr>
                <w:color w:val="000000"/>
                <w:sz w:val="24"/>
              </w:rPr>
              <w:t>S4包装产生的包装垃圾</w:t>
            </w:r>
          </w:p>
          <w:p>
            <w:pPr>
              <w:spacing w:before="48" w:beforeLines="20" w:line="360" w:lineRule="auto"/>
              <w:ind w:firstLine="480" w:firstLineChars="200"/>
              <w:rPr>
                <w:color w:val="000000"/>
                <w:sz w:val="24"/>
              </w:rPr>
            </w:pPr>
            <w:r>
              <w:rPr>
                <w:color w:val="000000"/>
                <w:sz w:val="24"/>
              </w:rPr>
              <w:t>4、噪声</w:t>
            </w:r>
          </w:p>
          <w:p>
            <w:pPr>
              <w:spacing w:before="48" w:beforeLines="20" w:line="360" w:lineRule="auto"/>
              <w:ind w:firstLine="480" w:firstLineChars="200"/>
              <w:rPr>
                <w:color w:val="000000"/>
                <w:sz w:val="24"/>
              </w:rPr>
            </w:pPr>
            <w:r>
              <w:rPr>
                <w:color w:val="000000"/>
                <w:sz w:val="24"/>
              </w:rPr>
              <w:t>N1锯床产生的噪声</w:t>
            </w:r>
          </w:p>
          <w:p>
            <w:pPr>
              <w:spacing w:before="48" w:beforeLines="20" w:line="360" w:lineRule="auto"/>
              <w:ind w:firstLine="480" w:firstLineChars="200"/>
              <w:rPr>
                <w:color w:val="000000"/>
                <w:sz w:val="24"/>
              </w:rPr>
            </w:pPr>
            <w:r>
              <w:rPr>
                <w:color w:val="000000"/>
                <w:sz w:val="24"/>
              </w:rPr>
              <w:t>N2加热炉风机产生的噪声</w:t>
            </w:r>
          </w:p>
          <w:p>
            <w:pPr>
              <w:spacing w:before="48" w:beforeLines="20" w:line="360" w:lineRule="auto"/>
              <w:ind w:firstLine="480" w:firstLineChars="200"/>
              <w:rPr>
                <w:color w:val="000000"/>
                <w:sz w:val="24"/>
              </w:rPr>
            </w:pPr>
            <w:r>
              <w:rPr>
                <w:color w:val="000000"/>
                <w:sz w:val="24"/>
              </w:rPr>
              <w:t>N3锻锤产生的噪声</w:t>
            </w:r>
          </w:p>
          <w:p>
            <w:pPr>
              <w:spacing w:before="48" w:beforeLines="20" w:line="360" w:lineRule="auto"/>
              <w:ind w:firstLine="480" w:firstLineChars="200"/>
              <w:rPr>
                <w:color w:val="000000"/>
                <w:sz w:val="24"/>
              </w:rPr>
            </w:pPr>
            <w:r>
              <w:rPr>
                <w:color w:val="000000"/>
                <w:sz w:val="24"/>
              </w:rPr>
              <w:t>N4碾环机产生的噪声</w:t>
            </w:r>
          </w:p>
          <w:p>
            <w:pPr>
              <w:spacing w:before="48" w:beforeLines="20" w:line="360" w:lineRule="auto"/>
              <w:ind w:firstLine="480" w:firstLineChars="200"/>
              <w:rPr>
                <w:color w:val="000000"/>
                <w:sz w:val="24"/>
                <w:szCs w:val="32"/>
              </w:rPr>
            </w:pPr>
            <w:r>
              <w:rPr>
                <w:color w:val="000000"/>
                <w:sz w:val="24"/>
                <w:szCs w:val="32"/>
              </w:rPr>
              <w:t>N5车床及钻床产生的噪声</w:t>
            </w: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p>
            <w:pPr>
              <w:rPr>
                <w:sz w:val="24"/>
                <w:szCs w:val="32"/>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64" w:hRule="atLeast"/>
          <w:jc w:val="center"/>
        </w:trPr>
        <w:tc>
          <w:tcPr>
            <w:tcW w:w="496" w:type="dxa"/>
            <w:vAlign w:val="center"/>
          </w:tcPr>
          <w:p>
            <w:pPr>
              <w:pStyle w:val="10"/>
              <w:adjustRightInd w:val="0"/>
              <w:snapToGrid w:val="0"/>
              <w:spacing w:before="0" w:beforeAutospacing="0" w:after="0" w:afterAutospacing="0"/>
              <w:jc w:val="center"/>
              <w:rPr>
                <w:rFonts w:ascii="Times New Roman" w:hAnsi="Times New Roman" w:cs="Times New Roman"/>
                <w:szCs w:val="24"/>
              </w:rPr>
            </w:pPr>
            <w:r>
              <w:rPr>
                <w:rFonts w:ascii="Times New Roman" w:hAnsi="Times New Roman" w:cs="Times New Roman"/>
                <w:bCs/>
                <w:szCs w:val="24"/>
              </w:rPr>
              <w:t>与项目有关的原有环境污染问题</w:t>
            </w:r>
          </w:p>
        </w:tc>
        <w:tc>
          <w:tcPr>
            <w:tcW w:w="8488" w:type="dxa"/>
          </w:tcPr>
          <w:p>
            <w:pPr>
              <w:adjustRightInd w:val="0"/>
              <w:snapToGrid w:val="0"/>
              <w:spacing w:line="360" w:lineRule="auto"/>
              <w:rPr>
                <w:b/>
                <w:sz w:val="24"/>
              </w:rPr>
            </w:pPr>
            <w:r>
              <w:rPr>
                <w:b/>
                <w:sz w:val="24"/>
              </w:rPr>
              <w:t>一、现有工程概况</w:t>
            </w:r>
          </w:p>
          <w:p>
            <w:pPr>
              <w:adjustRightInd w:val="0"/>
              <w:snapToGrid w:val="0"/>
              <w:spacing w:line="360" w:lineRule="auto"/>
              <w:ind w:firstLine="482" w:firstLineChars="200"/>
              <w:rPr>
                <w:b/>
                <w:sz w:val="24"/>
              </w:rPr>
            </w:pPr>
            <w:r>
              <w:rPr>
                <w:b/>
                <w:sz w:val="24"/>
              </w:rPr>
              <w:t>1、现有工程主要建设内容</w:t>
            </w:r>
          </w:p>
          <w:p>
            <w:pPr>
              <w:adjustRightInd w:val="0"/>
              <w:snapToGrid w:val="0"/>
              <w:spacing w:line="360" w:lineRule="auto"/>
              <w:ind w:firstLine="480" w:firstLineChars="200"/>
              <w:rPr>
                <w:bCs/>
                <w:sz w:val="24"/>
              </w:rPr>
            </w:pPr>
            <w:r>
              <w:rPr>
                <w:bCs/>
                <w:sz w:val="24"/>
              </w:rPr>
              <w:t>根据现场调查及询问，定襄县鑫康机械加工厂于2015年停产至今，其场地内现有工程主要建设内容为机加工车间675m</w:t>
            </w:r>
            <w:r>
              <w:rPr>
                <w:bCs/>
                <w:sz w:val="24"/>
                <w:vertAlign w:val="superscript"/>
              </w:rPr>
              <w:t>2</w:t>
            </w:r>
            <w:r>
              <w:rPr>
                <w:bCs/>
                <w:sz w:val="24"/>
              </w:rPr>
              <w:t>，包装车间、成品库600m</w:t>
            </w:r>
            <w:r>
              <w:rPr>
                <w:bCs/>
                <w:sz w:val="24"/>
                <w:vertAlign w:val="superscript"/>
              </w:rPr>
              <w:t>2</w:t>
            </w:r>
            <w:r>
              <w:rPr>
                <w:bCs/>
                <w:sz w:val="24"/>
              </w:rPr>
              <w:t>，及其余辅助设施及建筑。</w:t>
            </w:r>
          </w:p>
          <w:p>
            <w:pPr>
              <w:adjustRightInd w:val="0"/>
              <w:snapToGrid w:val="0"/>
              <w:spacing w:line="360" w:lineRule="auto"/>
              <w:jc w:val="center"/>
              <w:rPr>
                <w:b/>
                <w:szCs w:val="21"/>
              </w:rPr>
            </w:pPr>
            <w:r>
              <w:rPr>
                <w:b/>
                <w:szCs w:val="21"/>
              </w:rPr>
              <w:t>表</w:t>
            </w:r>
            <w:r>
              <w:rPr>
                <w:rFonts w:hint="eastAsia"/>
                <w:b/>
                <w:szCs w:val="21"/>
              </w:rPr>
              <w:t>12</w:t>
            </w:r>
            <w:r>
              <w:rPr>
                <w:b/>
                <w:szCs w:val="21"/>
              </w:rPr>
              <w:t xml:space="preserve">  现有工程建设内容一览表</w:t>
            </w:r>
          </w:p>
          <w:tbl>
            <w:tblPr>
              <w:tblStyle w:val="13"/>
              <w:tblW w:w="825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7"/>
              <w:gridCol w:w="567"/>
              <w:gridCol w:w="1701"/>
              <w:gridCol w:w="3260"/>
              <w:gridCol w:w="20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95" w:type="dxa"/>
                  <w:gridSpan w:val="3"/>
                  <w:vAlign w:val="center"/>
                </w:tcPr>
                <w:p>
                  <w:pPr>
                    <w:adjustRightInd w:val="0"/>
                    <w:snapToGrid w:val="0"/>
                    <w:jc w:val="center"/>
                    <w:rPr>
                      <w:bCs/>
                      <w:szCs w:val="21"/>
                    </w:rPr>
                  </w:pPr>
                  <w:r>
                    <w:rPr>
                      <w:bCs/>
                      <w:szCs w:val="21"/>
                    </w:rPr>
                    <w:t>类别</w:t>
                  </w:r>
                </w:p>
              </w:tc>
              <w:tc>
                <w:tcPr>
                  <w:tcW w:w="3260" w:type="dxa"/>
                  <w:vAlign w:val="center"/>
                </w:tcPr>
                <w:p>
                  <w:pPr>
                    <w:adjustRightInd w:val="0"/>
                    <w:snapToGrid w:val="0"/>
                    <w:jc w:val="center"/>
                    <w:rPr>
                      <w:bCs/>
                      <w:szCs w:val="21"/>
                    </w:rPr>
                  </w:pPr>
                  <w:r>
                    <w:rPr>
                      <w:bCs/>
                      <w:szCs w:val="21"/>
                    </w:rPr>
                    <w:t>建设内容</w:t>
                  </w:r>
                </w:p>
              </w:tc>
              <w:tc>
                <w:tcPr>
                  <w:tcW w:w="2002" w:type="dxa"/>
                  <w:vAlign w:val="center"/>
                </w:tcPr>
                <w:p>
                  <w:pPr>
                    <w:adjustRightInd w:val="0"/>
                    <w:snapToGrid w:val="0"/>
                    <w:jc w:val="center"/>
                    <w:rPr>
                      <w:bCs/>
                      <w:szCs w:val="21"/>
                    </w:rPr>
                  </w:pPr>
                  <w:r>
                    <w:rPr>
                      <w:bCs/>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restart"/>
                  <w:vAlign w:val="center"/>
                </w:tcPr>
                <w:p>
                  <w:pPr>
                    <w:adjustRightInd w:val="0"/>
                    <w:snapToGrid w:val="0"/>
                    <w:jc w:val="center"/>
                    <w:rPr>
                      <w:bCs/>
                      <w:szCs w:val="21"/>
                    </w:rPr>
                  </w:pPr>
                  <w:r>
                    <w:rPr>
                      <w:bCs/>
                      <w:szCs w:val="21"/>
                    </w:rPr>
                    <w:t>主体工程</w:t>
                  </w:r>
                </w:p>
              </w:tc>
              <w:tc>
                <w:tcPr>
                  <w:tcW w:w="2268" w:type="dxa"/>
                  <w:gridSpan w:val="2"/>
                  <w:vAlign w:val="center"/>
                </w:tcPr>
                <w:p>
                  <w:pPr>
                    <w:adjustRightInd w:val="0"/>
                    <w:snapToGrid w:val="0"/>
                    <w:jc w:val="center"/>
                    <w:rPr>
                      <w:bCs/>
                      <w:szCs w:val="21"/>
                    </w:rPr>
                  </w:pPr>
                  <w:r>
                    <w:rPr>
                      <w:bCs/>
                      <w:szCs w:val="21"/>
                    </w:rPr>
                    <w:t>下料、机加工车间</w:t>
                  </w:r>
                </w:p>
              </w:tc>
              <w:tc>
                <w:tcPr>
                  <w:tcW w:w="3260" w:type="dxa"/>
                  <w:vAlign w:val="center"/>
                </w:tcPr>
                <w:p>
                  <w:pPr>
                    <w:adjustRightInd w:val="0"/>
                    <w:snapToGrid w:val="0"/>
                    <w:jc w:val="center"/>
                    <w:rPr>
                      <w:bCs/>
                      <w:szCs w:val="21"/>
                    </w:rPr>
                  </w:pPr>
                  <w:r>
                    <w:rPr>
                      <w:bCs/>
                      <w:szCs w:val="21"/>
                    </w:rPr>
                    <w:t>占地面积675m</w:t>
                  </w:r>
                  <w:r>
                    <w:rPr>
                      <w:bCs/>
                      <w:szCs w:val="21"/>
                      <w:vertAlign w:val="superscript"/>
                    </w:rPr>
                    <w:t>2</w:t>
                  </w:r>
                  <w:r>
                    <w:rPr>
                      <w:bCs/>
                      <w:szCs w:val="21"/>
                    </w:rPr>
                    <w:t>，长×宽×高=45×15×6m，砖混结构</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包装车间、成品库</w:t>
                  </w:r>
                </w:p>
              </w:tc>
              <w:tc>
                <w:tcPr>
                  <w:tcW w:w="3260" w:type="dxa"/>
                  <w:vAlign w:val="center"/>
                </w:tcPr>
                <w:p>
                  <w:pPr>
                    <w:adjustRightInd w:val="0"/>
                    <w:snapToGrid w:val="0"/>
                    <w:jc w:val="center"/>
                    <w:rPr>
                      <w:bCs/>
                      <w:szCs w:val="21"/>
                    </w:rPr>
                  </w:pPr>
                  <w:r>
                    <w:rPr>
                      <w:bCs/>
                      <w:szCs w:val="21"/>
                    </w:rPr>
                    <w:t>占地面积600m</w:t>
                  </w:r>
                  <w:r>
                    <w:rPr>
                      <w:bCs/>
                      <w:szCs w:val="21"/>
                      <w:vertAlign w:val="superscript"/>
                    </w:rPr>
                    <w:t>2</w:t>
                  </w:r>
                  <w:r>
                    <w:rPr>
                      <w:bCs/>
                      <w:szCs w:val="21"/>
                    </w:rPr>
                    <w:t>，长×宽×高=30×20×8m</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锻造区域</w:t>
                  </w:r>
                </w:p>
              </w:tc>
              <w:tc>
                <w:tcPr>
                  <w:tcW w:w="3260" w:type="dxa"/>
                  <w:vAlign w:val="center"/>
                </w:tcPr>
                <w:p>
                  <w:pPr>
                    <w:adjustRightInd w:val="0"/>
                    <w:snapToGrid w:val="0"/>
                    <w:jc w:val="center"/>
                    <w:rPr>
                      <w:bCs/>
                      <w:szCs w:val="21"/>
                    </w:rPr>
                  </w:pPr>
                  <w:r>
                    <w:rPr>
                      <w:bCs/>
                      <w:szCs w:val="21"/>
                    </w:rPr>
                    <w:t>1台夹棒锤，1台燃煤加热炉</w:t>
                  </w:r>
                </w:p>
              </w:tc>
              <w:tc>
                <w:tcPr>
                  <w:tcW w:w="2002" w:type="dxa"/>
                  <w:vAlign w:val="center"/>
                </w:tcPr>
                <w:p>
                  <w:pPr>
                    <w:adjustRightInd w:val="0"/>
                    <w:snapToGrid w:val="0"/>
                    <w:jc w:val="center"/>
                    <w:rPr>
                      <w:bCs/>
                      <w:szCs w:val="21"/>
                    </w:rPr>
                  </w:pPr>
                  <w:r>
                    <w:rPr>
                      <w:bCs/>
                      <w:szCs w:val="21"/>
                    </w:rPr>
                    <w:t>燃煤加热炉已拆除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restart"/>
                  <w:vAlign w:val="center"/>
                </w:tcPr>
                <w:p>
                  <w:pPr>
                    <w:adjustRightInd w:val="0"/>
                    <w:snapToGrid w:val="0"/>
                    <w:jc w:val="center"/>
                    <w:rPr>
                      <w:bCs/>
                      <w:szCs w:val="21"/>
                    </w:rPr>
                  </w:pPr>
                  <w:r>
                    <w:rPr>
                      <w:bCs/>
                      <w:szCs w:val="21"/>
                    </w:rPr>
                    <w:t>辅助工程</w:t>
                  </w:r>
                </w:p>
              </w:tc>
              <w:tc>
                <w:tcPr>
                  <w:tcW w:w="2268" w:type="dxa"/>
                  <w:gridSpan w:val="2"/>
                  <w:vAlign w:val="center"/>
                </w:tcPr>
                <w:p>
                  <w:pPr>
                    <w:adjustRightInd w:val="0"/>
                    <w:snapToGrid w:val="0"/>
                    <w:jc w:val="center"/>
                    <w:rPr>
                      <w:bCs/>
                      <w:szCs w:val="21"/>
                    </w:rPr>
                  </w:pPr>
                  <w:r>
                    <w:rPr>
                      <w:bCs/>
                      <w:szCs w:val="21"/>
                    </w:rPr>
                    <w:t>办公生活区</w:t>
                  </w:r>
                </w:p>
              </w:tc>
              <w:tc>
                <w:tcPr>
                  <w:tcW w:w="3260" w:type="dxa"/>
                  <w:vAlign w:val="center"/>
                </w:tcPr>
                <w:p>
                  <w:pPr>
                    <w:adjustRightInd w:val="0"/>
                    <w:snapToGrid w:val="0"/>
                    <w:jc w:val="center"/>
                    <w:rPr>
                      <w:bCs/>
                      <w:szCs w:val="21"/>
                    </w:rPr>
                  </w:pPr>
                  <w:r>
                    <w:rPr>
                      <w:bCs/>
                      <w:szCs w:val="21"/>
                    </w:rPr>
                    <w:t>占地面积400m</w:t>
                  </w:r>
                  <w:r>
                    <w:rPr>
                      <w:bCs/>
                      <w:szCs w:val="21"/>
                      <w:vertAlign w:val="superscript"/>
                    </w:rPr>
                    <w:t>2</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库房</w:t>
                  </w:r>
                </w:p>
              </w:tc>
              <w:tc>
                <w:tcPr>
                  <w:tcW w:w="3260" w:type="dxa"/>
                  <w:vAlign w:val="center"/>
                </w:tcPr>
                <w:p>
                  <w:pPr>
                    <w:adjustRightInd w:val="0"/>
                    <w:snapToGrid w:val="0"/>
                    <w:jc w:val="center"/>
                    <w:rPr>
                      <w:bCs/>
                      <w:szCs w:val="21"/>
                    </w:rPr>
                  </w:pPr>
                  <w:r>
                    <w:rPr>
                      <w:bCs/>
                      <w:szCs w:val="21"/>
                    </w:rPr>
                    <w:t>占地面积100m</w:t>
                  </w:r>
                  <w:r>
                    <w:rPr>
                      <w:bCs/>
                      <w:szCs w:val="21"/>
                      <w:vertAlign w:val="superscript"/>
                    </w:rPr>
                    <w:t>2</w:t>
                  </w:r>
                  <w:r>
                    <w:rPr>
                      <w:bCs/>
                      <w:szCs w:val="21"/>
                    </w:rPr>
                    <w:t>，长×宽×高=10×10×3.5m</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restart"/>
                  <w:vAlign w:val="center"/>
                </w:tcPr>
                <w:p>
                  <w:pPr>
                    <w:adjustRightInd w:val="0"/>
                    <w:snapToGrid w:val="0"/>
                    <w:jc w:val="center"/>
                    <w:rPr>
                      <w:bCs/>
                      <w:szCs w:val="21"/>
                    </w:rPr>
                  </w:pPr>
                  <w:r>
                    <w:rPr>
                      <w:bCs/>
                      <w:szCs w:val="21"/>
                    </w:rPr>
                    <w:t>公用工程</w:t>
                  </w:r>
                </w:p>
              </w:tc>
              <w:tc>
                <w:tcPr>
                  <w:tcW w:w="2268" w:type="dxa"/>
                  <w:gridSpan w:val="2"/>
                  <w:vAlign w:val="center"/>
                </w:tcPr>
                <w:p>
                  <w:pPr>
                    <w:adjustRightInd w:val="0"/>
                    <w:snapToGrid w:val="0"/>
                    <w:jc w:val="center"/>
                    <w:rPr>
                      <w:bCs/>
                      <w:szCs w:val="21"/>
                    </w:rPr>
                  </w:pPr>
                  <w:r>
                    <w:rPr>
                      <w:bCs/>
                      <w:szCs w:val="21"/>
                    </w:rPr>
                    <w:t>供水</w:t>
                  </w:r>
                </w:p>
              </w:tc>
              <w:tc>
                <w:tcPr>
                  <w:tcW w:w="3260" w:type="dxa"/>
                  <w:vAlign w:val="center"/>
                </w:tcPr>
                <w:p>
                  <w:pPr>
                    <w:adjustRightInd w:val="0"/>
                    <w:snapToGrid w:val="0"/>
                    <w:jc w:val="center"/>
                    <w:rPr>
                      <w:bCs/>
                      <w:szCs w:val="21"/>
                    </w:rPr>
                  </w:pPr>
                  <w:r>
                    <w:rPr>
                      <w:bCs/>
                      <w:szCs w:val="21"/>
                    </w:rPr>
                    <w:t>留晖工业聚集区供水</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供电</w:t>
                  </w:r>
                </w:p>
              </w:tc>
              <w:tc>
                <w:tcPr>
                  <w:tcW w:w="3260" w:type="dxa"/>
                  <w:vAlign w:val="center"/>
                </w:tcPr>
                <w:p>
                  <w:pPr>
                    <w:adjustRightInd w:val="0"/>
                    <w:snapToGrid w:val="0"/>
                    <w:jc w:val="center"/>
                    <w:rPr>
                      <w:bCs/>
                      <w:szCs w:val="21"/>
                    </w:rPr>
                  </w:pPr>
                  <w:r>
                    <w:rPr>
                      <w:bCs/>
                      <w:szCs w:val="21"/>
                    </w:rPr>
                    <w:t>引自留晖变电所，厂内配置80kVA变压器</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供暖</w:t>
                  </w:r>
                </w:p>
              </w:tc>
              <w:tc>
                <w:tcPr>
                  <w:tcW w:w="3260" w:type="dxa"/>
                  <w:vAlign w:val="center"/>
                </w:tcPr>
                <w:p>
                  <w:pPr>
                    <w:adjustRightInd w:val="0"/>
                    <w:snapToGrid w:val="0"/>
                    <w:jc w:val="center"/>
                    <w:rPr>
                      <w:bCs/>
                      <w:szCs w:val="21"/>
                    </w:rPr>
                  </w:pPr>
                  <w:r>
                    <w:rPr>
                      <w:bCs/>
                      <w:szCs w:val="21"/>
                    </w:rPr>
                    <w:t>燃煤锅炉供热</w:t>
                  </w:r>
                </w:p>
              </w:tc>
              <w:tc>
                <w:tcPr>
                  <w:tcW w:w="2002" w:type="dxa"/>
                  <w:vAlign w:val="center"/>
                </w:tcPr>
                <w:p>
                  <w:pPr>
                    <w:adjustRightInd w:val="0"/>
                    <w:snapToGrid w:val="0"/>
                    <w:jc w:val="center"/>
                    <w:rPr>
                      <w:bCs/>
                      <w:szCs w:val="21"/>
                    </w:rPr>
                  </w:pPr>
                  <w:r>
                    <w:rPr>
                      <w:bCs/>
                      <w:szCs w:val="21"/>
                    </w:rPr>
                    <w:t>已拆除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restart"/>
                  <w:vAlign w:val="center"/>
                </w:tcPr>
                <w:p>
                  <w:pPr>
                    <w:adjustRightInd w:val="0"/>
                    <w:snapToGrid w:val="0"/>
                    <w:jc w:val="center"/>
                    <w:rPr>
                      <w:bCs/>
                      <w:szCs w:val="21"/>
                    </w:rPr>
                  </w:pPr>
                  <w:r>
                    <w:rPr>
                      <w:bCs/>
                      <w:szCs w:val="21"/>
                    </w:rPr>
                    <w:t>储运工程</w:t>
                  </w:r>
                </w:p>
              </w:tc>
              <w:tc>
                <w:tcPr>
                  <w:tcW w:w="2268" w:type="dxa"/>
                  <w:gridSpan w:val="2"/>
                  <w:vAlign w:val="center"/>
                </w:tcPr>
                <w:p>
                  <w:pPr>
                    <w:adjustRightInd w:val="0"/>
                    <w:snapToGrid w:val="0"/>
                    <w:jc w:val="center"/>
                    <w:rPr>
                      <w:bCs/>
                      <w:szCs w:val="21"/>
                    </w:rPr>
                  </w:pPr>
                  <w:r>
                    <w:rPr>
                      <w:bCs/>
                      <w:szCs w:val="21"/>
                    </w:rPr>
                    <w:t>原料场地</w:t>
                  </w:r>
                </w:p>
              </w:tc>
              <w:tc>
                <w:tcPr>
                  <w:tcW w:w="3260" w:type="dxa"/>
                  <w:vAlign w:val="center"/>
                </w:tcPr>
                <w:p>
                  <w:pPr>
                    <w:adjustRightInd w:val="0"/>
                    <w:snapToGrid w:val="0"/>
                    <w:jc w:val="center"/>
                    <w:rPr>
                      <w:bCs/>
                      <w:szCs w:val="21"/>
                      <w:vertAlign w:val="superscript"/>
                    </w:rPr>
                  </w:pPr>
                  <w:r>
                    <w:rPr>
                      <w:bCs/>
                      <w:szCs w:val="21"/>
                    </w:rPr>
                    <w:t>露天原料堆场400m</w:t>
                  </w:r>
                  <w:r>
                    <w:rPr>
                      <w:bCs/>
                      <w:szCs w:val="21"/>
                      <w:vertAlign w:val="superscript"/>
                    </w:rPr>
                    <w:t>2</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成品存放</w:t>
                  </w:r>
                </w:p>
              </w:tc>
              <w:tc>
                <w:tcPr>
                  <w:tcW w:w="3260" w:type="dxa"/>
                  <w:vAlign w:val="center"/>
                </w:tcPr>
                <w:p>
                  <w:pPr>
                    <w:adjustRightInd w:val="0"/>
                    <w:snapToGrid w:val="0"/>
                    <w:jc w:val="center"/>
                    <w:rPr>
                      <w:bCs/>
                      <w:szCs w:val="21"/>
                    </w:rPr>
                  </w:pPr>
                  <w:r>
                    <w:rPr>
                      <w:bCs/>
                      <w:szCs w:val="21"/>
                    </w:rPr>
                    <w:t>600m</w:t>
                  </w:r>
                  <w:r>
                    <w:rPr>
                      <w:bCs/>
                      <w:szCs w:val="21"/>
                      <w:vertAlign w:val="superscript"/>
                    </w:rPr>
                    <w:t>2</w:t>
                  </w:r>
                  <w:r>
                    <w:rPr>
                      <w:bCs/>
                      <w:szCs w:val="21"/>
                    </w:rPr>
                    <w:t>包装、成品车间</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一般固废暂存</w:t>
                  </w:r>
                </w:p>
              </w:tc>
              <w:tc>
                <w:tcPr>
                  <w:tcW w:w="3260" w:type="dxa"/>
                  <w:vAlign w:val="center"/>
                </w:tcPr>
                <w:p>
                  <w:pPr>
                    <w:adjustRightInd w:val="0"/>
                    <w:snapToGrid w:val="0"/>
                    <w:jc w:val="center"/>
                    <w:rPr>
                      <w:bCs/>
                      <w:szCs w:val="21"/>
                    </w:rPr>
                  </w:pPr>
                  <w:r>
                    <w:rPr>
                      <w:bCs/>
                      <w:szCs w:val="21"/>
                    </w:rPr>
                    <w:t>占地30m</w:t>
                  </w:r>
                  <w:r>
                    <w:rPr>
                      <w:bCs/>
                      <w:szCs w:val="21"/>
                      <w:vertAlign w:val="superscript"/>
                    </w:rPr>
                    <w:t>2</w:t>
                  </w:r>
                  <w:r>
                    <w:rPr>
                      <w:bCs/>
                      <w:szCs w:val="21"/>
                    </w:rPr>
                    <w:t>的一般固废暂存区域，露天堆放</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危险废物</w:t>
                  </w:r>
                </w:p>
              </w:tc>
              <w:tc>
                <w:tcPr>
                  <w:tcW w:w="3260" w:type="dxa"/>
                  <w:vAlign w:val="center"/>
                </w:tcPr>
                <w:p>
                  <w:pPr>
                    <w:adjustRightInd w:val="0"/>
                    <w:snapToGrid w:val="0"/>
                    <w:jc w:val="center"/>
                    <w:rPr>
                      <w:bCs/>
                      <w:szCs w:val="21"/>
                    </w:rPr>
                  </w:pPr>
                  <w:r>
                    <w:rPr>
                      <w:bCs/>
                      <w:szCs w:val="21"/>
                    </w:rPr>
                    <w:t>与有资质单位签订危险废物处置协议，不在厂内暂存</w:t>
                  </w:r>
                </w:p>
              </w:tc>
              <w:tc>
                <w:tcPr>
                  <w:tcW w:w="2002" w:type="dxa"/>
                  <w:vAlign w:val="center"/>
                </w:tcPr>
                <w:p>
                  <w:pPr>
                    <w:adjustRightInd w:val="0"/>
                    <w:snapToGrid w:val="0"/>
                    <w:jc w:val="center"/>
                    <w:rPr>
                      <w:bCs/>
                      <w:szCs w:val="21"/>
                    </w:rPr>
                  </w:pPr>
                  <w:r>
                    <w:rPr>
                      <w:bCs/>
                      <w:szCs w:val="21"/>
                    </w:rPr>
                    <w:t>未建设危废暂存间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restart"/>
                  <w:vAlign w:val="center"/>
                </w:tcPr>
                <w:p>
                  <w:pPr>
                    <w:adjustRightInd w:val="0"/>
                    <w:snapToGrid w:val="0"/>
                    <w:jc w:val="center"/>
                    <w:rPr>
                      <w:bCs/>
                      <w:szCs w:val="21"/>
                    </w:rPr>
                  </w:pPr>
                  <w:r>
                    <w:rPr>
                      <w:bCs/>
                      <w:szCs w:val="21"/>
                    </w:rPr>
                    <w:t>环保工程</w:t>
                  </w:r>
                </w:p>
              </w:tc>
              <w:tc>
                <w:tcPr>
                  <w:tcW w:w="2268" w:type="dxa"/>
                  <w:gridSpan w:val="2"/>
                  <w:vAlign w:val="center"/>
                </w:tcPr>
                <w:p>
                  <w:pPr>
                    <w:adjustRightInd w:val="0"/>
                    <w:snapToGrid w:val="0"/>
                    <w:jc w:val="center"/>
                    <w:rPr>
                      <w:bCs/>
                      <w:szCs w:val="21"/>
                    </w:rPr>
                  </w:pPr>
                  <w:r>
                    <w:rPr>
                      <w:bCs/>
                      <w:szCs w:val="21"/>
                    </w:rPr>
                    <w:t>废气</w:t>
                  </w:r>
                </w:p>
              </w:tc>
              <w:tc>
                <w:tcPr>
                  <w:tcW w:w="3260" w:type="dxa"/>
                  <w:vAlign w:val="center"/>
                </w:tcPr>
                <w:p>
                  <w:pPr>
                    <w:adjustRightInd w:val="0"/>
                    <w:snapToGrid w:val="0"/>
                    <w:jc w:val="center"/>
                    <w:rPr>
                      <w:bCs/>
                      <w:szCs w:val="21"/>
                    </w:rPr>
                  </w:pPr>
                  <w:r>
                    <w:rPr>
                      <w:bCs/>
                      <w:szCs w:val="21"/>
                    </w:rPr>
                    <w:t>1台套湿法脱硫除尘装置</w:t>
                  </w:r>
                </w:p>
              </w:tc>
              <w:tc>
                <w:tcPr>
                  <w:tcW w:w="2002" w:type="dxa"/>
                  <w:vAlign w:val="center"/>
                </w:tcPr>
                <w:p>
                  <w:pPr>
                    <w:adjustRightInd w:val="0"/>
                    <w:snapToGrid w:val="0"/>
                    <w:jc w:val="center"/>
                    <w:rPr>
                      <w:bCs/>
                      <w:szCs w:val="21"/>
                    </w:rPr>
                  </w:pPr>
                  <w:r>
                    <w:rPr>
                      <w:bCs/>
                      <w:szCs w:val="21"/>
                    </w:rPr>
                    <w:t>已拆除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生活污水</w:t>
                  </w:r>
                </w:p>
              </w:tc>
              <w:tc>
                <w:tcPr>
                  <w:tcW w:w="3260" w:type="dxa"/>
                  <w:vAlign w:val="center"/>
                </w:tcPr>
                <w:p>
                  <w:pPr>
                    <w:adjustRightInd w:val="0"/>
                    <w:snapToGrid w:val="0"/>
                    <w:jc w:val="center"/>
                    <w:rPr>
                      <w:bCs/>
                      <w:szCs w:val="21"/>
                    </w:rPr>
                  </w:pPr>
                  <w:r>
                    <w:rPr>
                      <w:bCs/>
                      <w:szCs w:val="21"/>
                    </w:rPr>
                    <w:t>生活污水用于厂区洒水抑尘</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2268" w:type="dxa"/>
                  <w:gridSpan w:val="2"/>
                  <w:vAlign w:val="center"/>
                </w:tcPr>
                <w:p>
                  <w:pPr>
                    <w:adjustRightInd w:val="0"/>
                    <w:snapToGrid w:val="0"/>
                    <w:jc w:val="center"/>
                    <w:rPr>
                      <w:bCs/>
                      <w:szCs w:val="21"/>
                    </w:rPr>
                  </w:pPr>
                  <w:r>
                    <w:rPr>
                      <w:bCs/>
                      <w:szCs w:val="21"/>
                    </w:rPr>
                    <w:t>噪声</w:t>
                  </w:r>
                </w:p>
              </w:tc>
              <w:tc>
                <w:tcPr>
                  <w:tcW w:w="3260" w:type="dxa"/>
                  <w:vAlign w:val="center"/>
                </w:tcPr>
                <w:p>
                  <w:pPr>
                    <w:adjustRightInd w:val="0"/>
                    <w:snapToGrid w:val="0"/>
                    <w:jc w:val="center"/>
                    <w:rPr>
                      <w:bCs/>
                      <w:szCs w:val="21"/>
                    </w:rPr>
                  </w:pPr>
                  <w:r>
                    <w:rPr>
                      <w:bCs/>
                      <w:szCs w:val="21"/>
                    </w:rPr>
                    <w:t>厂房隔声，基础减振</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567" w:type="dxa"/>
                  <w:vMerge w:val="restart"/>
                  <w:vAlign w:val="center"/>
                </w:tcPr>
                <w:p>
                  <w:pPr>
                    <w:adjustRightInd w:val="0"/>
                    <w:snapToGrid w:val="0"/>
                    <w:jc w:val="center"/>
                    <w:rPr>
                      <w:bCs/>
                      <w:szCs w:val="21"/>
                    </w:rPr>
                  </w:pPr>
                  <w:r>
                    <w:rPr>
                      <w:bCs/>
                      <w:szCs w:val="21"/>
                    </w:rPr>
                    <w:t>固废</w:t>
                  </w:r>
                </w:p>
              </w:tc>
              <w:tc>
                <w:tcPr>
                  <w:tcW w:w="1701" w:type="dxa"/>
                  <w:vAlign w:val="center"/>
                </w:tcPr>
                <w:p>
                  <w:pPr>
                    <w:adjustRightInd w:val="0"/>
                    <w:snapToGrid w:val="0"/>
                    <w:jc w:val="center"/>
                    <w:rPr>
                      <w:bCs/>
                      <w:szCs w:val="21"/>
                    </w:rPr>
                  </w:pPr>
                  <w:r>
                    <w:rPr>
                      <w:bCs/>
                      <w:szCs w:val="21"/>
                    </w:rPr>
                    <w:t>生活垃圾</w:t>
                  </w:r>
                </w:p>
              </w:tc>
              <w:tc>
                <w:tcPr>
                  <w:tcW w:w="3260" w:type="dxa"/>
                  <w:vAlign w:val="center"/>
                </w:tcPr>
                <w:p>
                  <w:pPr>
                    <w:adjustRightInd w:val="0"/>
                    <w:snapToGrid w:val="0"/>
                    <w:jc w:val="center"/>
                    <w:rPr>
                      <w:bCs/>
                      <w:szCs w:val="21"/>
                    </w:rPr>
                  </w:pPr>
                  <w:r>
                    <w:rPr>
                      <w:bCs/>
                      <w:szCs w:val="21"/>
                    </w:rPr>
                    <w:t>厂内设垃圾桶，由环卫部门统一处置</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567" w:type="dxa"/>
                  <w:vMerge w:val="continue"/>
                  <w:vAlign w:val="center"/>
                </w:tcPr>
                <w:p>
                  <w:pPr>
                    <w:adjustRightInd w:val="0"/>
                    <w:snapToGrid w:val="0"/>
                    <w:jc w:val="center"/>
                    <w:rPr>
                      <w:bCs/>
                      <w:szCs w:val="21"/>
                    </w:rPr>
                  </w:pPr>
                </w:p>
              </w:tc>
              <w:tc>
                <w:tcPr>
                  <w:tcW w:w="1701" w:type="dxa"/>
                  <w:vAlign w:val="center"/>
                </w:tcPr>
                <w:p>
                  <w:pPr>
                    <w:adjustRightInd w:val="0"/>
                    <w:snapToGrid w:val="0"/>
                    <w:jc w:val="center"/>
                    <w:rPr>
                      <w:bCs/>
                      <w:szCs w:val="21"/>
                    </w:rPr>
                  </w:pPr>
                  <w:r>
                    <w:rPr>
                      <w:bCs/>
                      <w:szCs w:val="21"/>
                    </w:rPr>
                    <w:t>废铁屑</w:t>
                  </w:r>
                </w:p>
                <w:p>
                  <w:pPr>
                    <w:adjustRightInd w:val="0"/>
                    <w:snapToGrid w:val="0"/>
                    <w:jc w:val="center"/>
                    <w:rPr>
                      <w:bCs/>
                      <w:szCs w:val="21"/>
                    </w:rPr>
                  </w:pPr>
                  <w:r>
                    <w:rPr>
                      <w:bCs/>
                      <w:szCs w:val="21"/>
                    </w:rPr>
                    <w:t>废边角料</w:t>
                  </w:r>
                </w:p>
                <w:p>
                  <w:pPr>
                    <w:adjustRightInd w:val="0"/>
                    <w:snapToGrid w:val="0"/>
                    <w:jc w:val="center"/>
                    <w:rPr>
                      <w:bCs/>
                      <w:szCs w:val="21"/>
                    </w:rPr>
                  </w:pPr>
                  <w:r>
                    <w:rPr>
                      <w:bCs/>
                      <w:szCs w:val="21"/>
                    </w:rPr>
                    <w:t>氧化铁皮</w:t>
                  </w:r>
                </w:p>
              </w:tc>
              <w:tc>
                <w:tcPr>
                  <w:tcW w:w="3260" w:type="dxa"/>
                  <w:vAlign w:val="center"/>
                </w:tcPr>
                <w:p>
                  <w:pPr>
                    <w:adjustRightInd w:val="0"/>
                    <w:snapToGrid w:val="0"/>
                    <w:jc w:val="center"/>
                    <w:rPr>
                      <w:bCs/>
                      <w:szCs w:val="21"/>
                    </w:rPr>
                  </w:pPr>
                  <w:r>
                    <w:rPr>
                      <w:bCs/>
                      <w:szCs w:val="21"/>
                    </w:rPr>
                    <w:t>30m</w:t>
                  </w:r>
                  <w:r>
                    <w:rPr>
                      <w:bCs/>
                      <w:szCs w:val="21"/>
                      <w:vertAlign w:val="superscript"/>
                    </w:rPr>
                    <w:t>2</w:t>
                  </w:r>
                  <w:r>
                    <w:rPr>
                      <w:bCs/>
                      <w:szCs w:val="21"/>
                    </w:rPr>
                    <w:t>固废暂存区域，定期出售</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567" w:type="dxa"/>
                  <w:vMerge w:val="continue"/>
                  <w:vAlign w:val="center"/>
                </w:tcPr>
                <w:p>
                  <w:pPr>
                    <w:adjustRightInd w:val="0"/>
                    <w:snapToGrid w:val="0"/>
                    <w:jc w:val="center"/>
                    <w:rPr>
                      <w:bCs/>
                      <w:szCs w:val="21"/>
                    </w:rPr>
                  </w:pPr>
                </w:p>
              </w:tc>
              <w:tc>
                <w:tcPr>
                  <w:tcW w:w="1701" w:type="dxa"/>
                  <w:vAlign w:val="center"/>
                </w:tcPr>
                <w:p>
                  <w:pPr>
                    <w:adjustRightInd w:val="0"/>
                    <w:snapToGrid w:val="0"/>
                    <w:jc w:val="center"/>
                    <w:rPr>
                      <w:bCs/>
                      <w:szCs w:val="21"/>
                    </w:rPr>
                  </w:pPr>
                  <w:r>
                    <w:rPr>
                      <w:bCs/>
                      <w:szCs w:val="21"/>
                    </w:rPr>
                    <w:t>废塑料</w:t>
                  </w:r>
                </w:p>
                <w:p>
                  <w:pPr>
                    <w:adjustRightInd w:val="0"/>
                    <w:snapToGrid w:val="0"/>
                    <w:jc w:val="center"/>
                    <w:rPr>
                      <w:bCs/>
                      <w:szCs w:val="21"/>
                    </w:rPr>
                  </w:pPr>
                  <w:r>
                    <w:rPr>
                      <w:bCs/>
                      <w:szCs w:val="21"/>
                    </w:rPr>
                    <w:t>废木板</w:t>
                  </w:r>
                </w:p>
              </w:tc>
              <w:tc>
                <w:tcPr>
                  <w:tcW w:w="3260" w:type="dxa"/>
                  <w:vAlign w:val="center"/>
                </w:tcPr>
                <w:p>
                  <w:pPr>
                    <w:adjustRightInd w:val="0"/>
                    <w:snapToGrid w:val="0"/>
                    <w:jc w:val="center"/>
                    <w:rPr>
                      <w:bCs/>
                      <w:szCs w:val="21"/>
                    </w:rPr>
                  </w:pPr>
                  <w:r>
                    <w:rPr>
                      <w:bCs/>
                      <w:szCs w:val="21"/>
                    </w:rPr>
                    <w:t>收集后综合利用</w:t>
                  </w:r>
                </w:p>
              </w:tc>
              <w:tc>
                <w:tcPr>
                  <w:tcW w:w="2002" w:type="dxa"/>
                  <w:vAlign w:val="center"/>
                </w:tcPr>
                <w:p>
                  <w:pPr>
                    <w:adjustRightInd w:val="0"/>
                    <w:snapToGrid w:val="0"/>
                    <w:jc w:val="center"/>
                    <w:rPr>
                      <w:bCs/>
                      <w:szCs w:val="21"/>
                    </w:rPr>
                  </w:pPr>
                  <w:r>
                    <w:rPr>
                      <w:bCs/>
                      <w:szCs w:val="21"/>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dxa"/>
                  <w:vMerge w:val="continue"/>
                  <w:vAlign w:val="center"/>
                </w:tcPr>
                <w:p>
                  <w:pPr>
                    <w:adjustRightInd w:val="0"/>
                    <w:snapToGrid w:val="0"/>
                    <w:jc w:val="center"/>
                    <w:rPr>
                      <w:bCs/>
                      <w:szCs w:val="21"/>
                    </w:rPr>
                  </w:pPr>
                </w:p>
              </w:tc>
              <w:tc>
                <w:tcPr>
                  <w:tcW w:w="567" w:type="dxa"/>
                  <w:vMerge w:val="continue"/>
                  <w:vAlign w:val="center"/>
                </w:tcPr>
                <w:p>
                  <w:pPr>
                    <w:adjustRightInd w:val="0"/>
                    <w:snapToGrid w:val="0"/>
                    <w:jc w:val="center"/>
                    <w:rPr>
                      <w:bCs/>
                      <w:szCs w:val="21"/>
                    </w:rPr>
                  </w:pPr>
                </w:p>
              </w:tc>
              <w:tc>
                <w:tcPr>
                  <w:tcW w:w="1701" w:type="dxa"/>
                  <w:vAlign w:val="center"/>
                </w:tcPr>
                <w:p>
                  <w:pPr>
                    <w:adjustRightInd w:val="0"/>
                    <w:snapToGrid w:val="0"/>
                    <w:jc w:val="center"/>
                    <w:rPr>
                      <w:bCs/>
                      <w:szCs w:val="21"/>
                    </w:rPr>
                  </w:pPr>
                  <w:r>
                    <w:rPr>
                      <w:bCs/>
                      <w:szCs w:val="21"/>
                    </w:rPr>
                    <w:t>废机油</w:t>
                  </w:r>
                </w:p>
                <w:p>
                  <w:pPr>
                    <w:adjustRightInd w:val="0"/>
                    <w:snapToGrid w:val="0"/>
                    <w:jc w:val="center"/>
                    <w:rPr>
                      <w:bCs/>
                      <w:szCs w:val="21"/>
                    </w:rPr>
                  </w:pPr>
                  <w:r>
                    <w:rPr>
                      <w:bCs/>
                      <w:szCs w:val="21"/>
                    </w:rPr>
                    <w:t>废乳化液</w:t>
                  </w:r>
                </w:p>
              </w:tc>
              <w:tc>
                <w:tcPr>
                  <w:tcW w:w="3260" w:type="dxa"/>
                  <w:vAlign w:val="center"/>
                </w:tcPr>
                <w:p>
                  <w:pPr>
                    <w:adjustRightInd w:val="0"/>
                    <w:snapToGrid w:val="0"/>
                    <w:jc w:val="center"/>
                    <w:rPr>
                      <w:bCs/>
                      <w:szCs w:val="21"/>
                    </w:rPr>
                  </w:pPr>
                  <w:r>
                    <w:rPr>
                      <w:bCs/>
                      <w:szCs w:val="21"/>
                    </w:rPr>
                    <w:t>交由有资质单位处理</w:t>
                  </w:r>
                </w:p>
              </w:tc>
              <w:tc>
                <w:tcPr>
                  <w:tcW w:w="2002" w:type="dxa"/>
                  <w:vAlign w:val="center"/>
                </w:tcPr>
                <w:p>
                  <w:pPr>
                    <w:adjustRightInd w:val="0"/>
                    <w:snapToGrid w:val="0"/>
                    <w:jc w:val="center"/>
                    <w:rPr>
                      <w:bCs/>
                      <w:szCs w:val="21"/>
                    </w:rPr>
                  </w:pPr>
                  <w:r>
                    <w:rPr>
                      <w:bCs/>
                      <w:szCs w:val="21"/>
                    </w:rPr>
                    <w:t>已建</w:t>
                  </w:r>
                </w:p>
              </w:tc>
            </w:tr>
          </w:tbl>
          <w:p>
            <w:pPr>
              <w:adjustRightInd w:val="0"/>
              <w:snapToGrid w:val="0"/>
              <w:spacing w:line="360" w:lineRule="auto"/>
              <w:ind w:firstLine="482" w:firstLineChars="200"/>
              <w:rPr>
                <w:b/>
                <w:sz w:val="24"/>
              </w:rPr>
            </w:pPr>
            <w:r>
              <w:rPr>
                <w:b/>
                <w:sz w:val="24"/>
              </w:rPr>
              <w:t>2、现有工程设备清单</w:t>
            </w:r>
          </w:p>
          <w:p>
            <w:pPr>
              <w:adjustRightInd w:val="0"/>
              <w:snapToGrid w:val="0"/>
              <w:spacing w:line="360" w:lineRule="auto"/>
              <w:jc w:val="center"/>
              <w:rPr>
                <w:b/>
                <w:szCs w:val="21"/>
              </w:rPr>
            </w:pPr>
            <w:r>
              <w:rPr>
                <w:b/>
                <w:szCs w:val="21"/>
              </w:rPr>
              <w:t>表</w:t>
            </w:r>
            <w:r>
              <w:rPr>
                <w:rFonts w:hint="eastAsia"/>
                <w:b/>
                <w:szCs w:val="21"/>
              </w:rPr>
              <w:t>13</w:t>
            </w:r>
            <w:r>
              <w:rPr>
                <w:b/>
                <w:szCs w:val="21"/>
              </w:rPr>
              <w:t xml:space="preserve">  现有设备清单</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4"/>
              <w:gridCol w:w="2247"/>
              <w:gridCol w:w="2753"/>
              <w:gridCol w:w="21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序号</w:t>
                  </w:r>
                </w:p>
              </w:tc>
              <w:tc>
                <w:tcPr>
                  <w:tcW w:w="2247" w:type="dxa"/>
                  <w:vAlign w:val="center"/>
                </w:tcPr>
                <w:p>
                  <w:pPr>
                    <w:adjustRightInd w:val="0"/>
                    <w:snapToGrid w:val="0"/>
                    <w:jc w:val="center"/>
                    <w:rPr>
                      <w:bCs/>
                      <w:szCs w:val="21"/>
                    </w:rPr>
                  </w:pPr>
                  <w:r>
                    <w:rPr>
                      <w:bCs/>
                      <w:szCs w:val="21"/>
                    </w:rPr>
                    <w:t>名称</w:t>
                  </w:r>
                </w:p>
              </w:tc>
              <w:tc>
                <w:tcPr>
                  <w:tcW w:w="2753" w:type="dxa"/>
                  <w:vAlign w:val="center"/>
                </w:tcPr>
                <w:p>
                  <w:pPr>
                    <w:adjustRightInd w:val="0"/>
                    <w:snapToGrid w:val="0"/>
                    <w:jc w:val="center"/>
                    <w:rPr>
                      <w:bCs/>
                      <w:szCs w:val="21"/>
                    </w:rPr>
                  </w:pPr>
                  <w:r>
                    <w:rPr>
                      <w:bCs/>
                      <w:szCs w:val="21"/>
                    </w:rPr>
                    <w:t>规格及型号</w:t>
                  </w:r>
                </w:p>
              </w:tc>
              <w:tc>
                <w:tcPr>
                  <w:tcW w:w="2128" w:type="dxa"/>
                  <w:vAlign w:val="center"/>
                </w:tcPr>
                <w:p>
                  <w:pPr>
                    <w:adjustRightInd w:val="0"/>
                    <w:snapToGrid w:val="0"/>
                    <w:jc w:val="center"/>
                    <w:rPr>
                      <w:bCs/>
                      <w:szCs w:val="21"/>
                    </w:rPr>
                  </w:pPr>
                  <w:r>
                    <w:rPr>
                      <w:bCs/>
                      <w:szCs w:val="21"/>
                    </w:rPr>
                    <w:t>设备数量（台/套）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1</w:t>
                  </w:r>
                </w:p>
              </w:tc>
              <w:tc>
                <w:tcPr>
                  <w:tcW w:w="2247" w:type="dxa"/>
                  <w:vAlign w:val="center"/>
                </w:tcPr>
                <w:p>
                  <w:pPr>
                    <w:adjustRightInd w:val="0"/>
                    <w:snapToGrid w:val="0"/>
                    <w:jc w:val="center"/>
                    <w:rPr>
                      <w:bCs/>
                      <w:szCs w:val="21"/>
                    </w:rPr>
                  </w:pPr>
                  <w:r>
                    <w:rPr>
                      <w:bCs/>
                      <w:szCs w:val="21"/>
                    </w:rPr>
                    <w:t>金属带锯床</w:t>
                  </w:r>
                </w:p>
              </w:tc>
              <w:tc>
                <w:tcPr>
                  <w:tcW w:w="2753" w:type="dxa"/>
                  <w:vAlign w:val="center"/>
                </w:tcPr>
                <w:p>
                  <w:pPr>
                    <w:adjustRightInd w:val="0"/>
                    <w:snapToGrid w:val="0"/>
                    <w:jc w:val="center"/>
                    <w:rPr>
                      <w:bCs/>
                      <w:szCs w:val="21"/>
                    </w:rPr>
                  </w:pPr>
                  <w:r>
                    <w:rPr>
                      <w:bCs/>
                      <w:szCs w:val="21"/>
                    </w:rPr>
                    <w:t>C3640型</w:t>
                  </w:r>
                </w:p>
              </w:tc>
              <w:tc>
                <w:tcPr>
                  <w:tcW w:w="2128" w:type="dxa"/>
                  <w:vAlign w:val="center"/>
                </w:tcPr>
                <w:p>
                  <w:pPr>
                    <w:adjustRightInd w:val="0"/>
                    <w:snapToGrid w:val="0"/>
                    <w:jc w:val="center"/>
                    <w:rPr>
                      <w:bCs/>
                      <w:szCs w:val="21"/>
                    </w:rPr>
                  </w:pPr>
                  <w:r>
                    <w:rPr>
                      <w:bCs/>
                      <w:szCs w:val="21"/>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2</w:t>
                  </w:r>
                </w:p>
              </w:tc>
              <w:tc>
                <w:tcPr>
                  <w:tcW w:w="2247" w:type="dxa"/>
                  <w:vAlign w:val="center"/>
                </w:tcPr>
                <w:p>
                  <w:pPr>
                    <w:adjustRightInd w:val="0"/>
                    <w:snapToGrid w:val="0"/>
                    <w:jc w:val="center"/>
                    <w:rPr>
                      <w:bCs/>
                      <w:szCs w:val="21"/>
                    </w:rPr>
                  </w:pPr>
                  <w:r>
                    <w:rPr>
                      <w:bCs/>
                      <w:szCs w:val="21"/>
                    </w:rPr>
                    <w:t>车床</w:t>
                  </w:r>
                </w:p>
              </w:tc>
              <w:tc>
                <w:tcPr>
                  <w:tcW w:w="2753" w:type="dxa"/>
                  <w:vAlign w:val="center"/>
                </w:tcPr>
                <w:p>
                  <w:pPr>
                    <w:adjustRightInd w:val="0"/>
                    <w:snapToGrid w:val="0"/>
                    <w:jc w:val="center"/>
                    <w:rPr>
                      <w:bCs/>
                      <w:szCs w:val="21"/>
                    </w:rPr>
                  </w:pPr>
                  <w:r>
                    <w:rPr>
                      <w:bCs/>
                      <w:szCs w:val="21"/>
                    </w:rPr>
                    <w:t>6150/C630</w:t>
                  </w:r>
                </w:p>
              </w:tc>
              <w:tc>
                <w:tcPr>
                  <w:tcW w:w="2128" w:type="dxa"/>
                  <w:vAlign w:val="center"/>
                </w:tcPr>
                <w:p>
                  <w:pPr>
                    <w:adjustRightInd w:val="0"/>
                    <w:snapToGrid w:val="0"/>
                    <w:jc w:val="center"/>
                    <w:rPr>
                      <w:bCs/>
                      <w:szCs w:val="21"/>
                    </w:rPr>
                  </w:pPr>
                  <w:r>
                    <w:rPr>
                      <w:bCs/>
                      <w:szCs w:val="21"/>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3</w:t>
                  </w:r>
                </w:p>
              </w:tc>
              <w:tc>
                <w:tcPr>
                  <w:tcW w:w="2247" w:type="dxa"/>
                  <w:vAlign w:val="center"/>
                </w:tcPr>
                <w:p>
                  <w:pPr>
                    <w:adjustRightInd w:val="0"/>
                    <w:snapToGrid w:val="0"/>
                    <w:jc w:val="center"/>
                    <w:rPr>
                      <w:bCs/>
                      <w:szCs w:val="21"/>
                    </w:rPr>
                  </w:pPr>
                  <w:r>
                    <w:rPr>
                      <w:bCs/>
                      <w:szCs w:val="21"/>
                    </w:rPr>
                    <w:t>钻床</w:t>
                  </w:r>
                </w:p>
              </w:tc>
              <w:tc>
                <w:tcPr>
                  <w:tcW w:w="2753" w:type="dxa"/>
                  <w:vAlign w:val="center"/>
                </w:tcPr>
                <w:p>
                  <w:pPr>
                    <w:adjustRightInd w:val="0"/>
                    <w:snapToGrid w:val="0"/>
                    <w:jc w:val="center"/>
                    <w:rPr>
                      <w:bCs/>
                      <w:szCs w:val="21"/>
                    </w:rPr>
                  </w:pPr>
                  <w:r>
                    <w:rPr>
                      <w:bCs/>
                      <w:szCs w:val="21"/>
                    </w:rPr>
                    <w:t>Z35</w:t>
                  </w:r>
                </w:p>
              </w:tc>
              <w:tc>
                <w:tcPr>
                  <w:tcW w:w="2128" w:type="dxa"/>
                  <w:vAlign w:val="center"/>
                </w:tcPr>
                <w:p>
                  <w:pPr>
                    <w:adjustRightInd w:val="0"/>
                    <w:snapToGrid w:val="0"/>
                    <w:jc w:val="center"/>
                    <w:rPr>
                      <w:bCs/>
                      <w:szCs w:val="21"/>
                    </w:rPr>
                  </w:pPr>
                  <w:r>
                    <w:rPr>
                      <w:bCs/>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4</w:t>
                  </w:r>
                </w:p>
              </w:tc>
              <w:tc>
                <w:tcPr>
                  <w:tcW w:w="2247" w:type="dxa"/>
                  <w:vAlign w:val="center"/>
                </w:tcPr>
                <w:p>
                  <w:pPr>
                    <w:adjustRightInd w:val="0"/>
                    <w:snapToGrid w:val="0"/>
                    <w:jc w:val="center"/>
                    <w:rPr>
                      <w:bCs/>
                      <w:szCs w:val="21"/>
                    </w:rPr>
                  </w:pPr>
                  <w:r>
                    <w:rPr>
                      <w:bCs/>
                      <w:szCs w:val="21"/>
                    </w:rPr>
                    <w:t>行车</w:t>
                  </w:r>
                </w:p>
              </w:tc>
              <w:tc>
                <w:tcPr>
                  <w:tcW w:w="2753" w:type="dxa"/>
                  <w:vAlign w:val="center"/>
                </w:tcPr>
                <w:p>
                  <w:pPr>
                    <w:adjustRightInd w:val="0"/>
                    <w:snapToGrid w:val="0"/>
                    <w:jc w:val="center"/>
                    <w:rPr>
                      <w:bCs/>
                      <w:szCs w:val="21"/>
                    </w:rPr>
                  </w:pPr>
                  <w:r>
                    <w:rPr>
                      <w:bCs/>
                      <w:szCs w:val="21"/>
                    </w:rPr>
                    <w:t>3t</w:t>
                  </w:r>
                </w:p>
              </w:tc>
              <w:tc>
                <w:tcPr>
                  <w:tcW w:w="2128" w:type="dxa"/>
                  <w:vAlign w:val="center"/>
                </w:tcPr>
                <w:p>
                  <w:pPr>
                    <w:adjustRightInd w:val="0"/>
                    <w:snapToGrid w:val="0"/>
                    <w:jc w:val="center"/>
                    <w:rPr>
                      <w:bCs/>
                      <w:szCs w:val="21"/>
                    </w:rPr>
                  </w:pPr>
                  <w:r>
                    <w:rPr>
                      <w:bCs/>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5</w:t>
                  </w:r>
                </w:p>
              </w:tc>
              <w:tc>
                <w:tcPr>
                  <w:tcW w:w="2247" w:type="dxa"/>
                  <w:vAlign w:val="center"/>
                </w:tcPr>
                <w:p>
                  <w:pPr>
                    <w:adjustRightInd w:val="0"/>
                    <w:snapToGrid w:val="0"/>
                    <w:jc w:val="center"/>
                    <w:rPr>
                      <w:bCs/>
                      <w:szCs w:val="21"/>
                    </w:rPr>
                  </w:pPr>
                  <w:r>
                    <w:rPr>
                      <w:bCs/>
                      <w:szCs w:val="21"/>
                    </w:rPr>
                    <w:t>变压器</w:t>
                  </w:r>
                </w:p>
              </w:tc>
              <w:tc>
                <w:tcPr>
                  <w:tcW w:w="2753" w:type="dxa"/>
                  <w:vAlign w:val="center"/>
                </w:tcPr>
                <w:p>
                  <w:pPr>
                    <w:adjustRightInd w:val="0"/>
                    <w:snapToGrid w:val="0"/>
                    <w:jc w:val="center"/>
                    <w:rPr>
                      <w:bCs/>
                      <w:szCs w:val="21"/>
                    </w:rPr>
                  </w:pPr>
                  <w:r>
                    <w:rPr>
                      <w:bCs/>
                      <w:szCs w:val="21"/>
                    </w:rPr>
                    <w:t>80kVA</w:t>
                  </w:r>
                </w:p>
              </w:tc>
              <w:tc>
                <w:tcPr>
                  <w:tcW w:w="2128" w:type="dxa"/>
                  <w:vAlign w:val="center"/>
                </w:tcPr>
                <w:p>
                  <w:pPr>
                    <w:adjustRightInd w:val="0"/>
                    <w:snapToGrid w:val="0"/>
                    <w:jc w:val="center"/>
                    <w:rPr>
                      <w:bCs/>
                      <w:szCs w:val="21"/>
                    </w:rPr>
                  </w:pPr>
                  <w:r>
                    <w:rPr>
                      <w:bCs/>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6</w:t>
                  </w:r>
                </w:p>
              </w:tc>
              <w:tc>
                <w:tcPr>
                  <w:tcW w:w="2247" w:type="dxa"/>
                  <w:vAlign w:val="center"/>
                </w:tcPr>
                <w:p>
                  <w:pPr>
                    <w:adjustRightInd w:val="0"/>
                    <w:snapToGrid w:val="0"/>
                    <w:jc w:val="center"/>
                    <w:rPr>
                      <w:bCs/>
                      <w:szCs w:val="21"/>
                    </w:rPr>
                  </w:pPr>
                  <w:r>
                    <w:rPr>
                      <w:bCs/>
                      <w:szCs w:val="21"/>
                    </w:rPr>
                    <w:t>包装生产线</w:t>
                  </w:r>
                </w:p>
              </w:tc>
              <w:tc>
                <w:tcPr>
                  <w:tcW w:w="2753" w:type="dxa"/>
                  <w:vAlign w:val="center"/>
                </w:tcPr>
                <w:p>
                  <w:pPr>
                    <w:adjustRightInd w:val="0"/>
                    <w:snapToGrid w:val="0"/>
                    <w:jc w:val="center"/>
                    <w:rPr>
                      <w:bCs/>
                      <w:szCs w:val="21"/>
                    </w:rPr>
                  </w:pPr>
                  <w:r>
                    <w:rPr>
                      <w:bCs/>
                      <w:szCs w:val="21"/>
                    </w:rPr>
                    <w:t>/</w:t>
                  </w:r>
                </w:p>
              </w:tc>
              <w:tc>
                <w:tcPr>
                  <w:tcW w:w="2128" w:type="dxa"/>
                  <w:vAlign w:val="center"/>
                </w:tcPr>
                <w:p>
                  <w:pPr>
                    <w:adjustRightInd w:val="0"/>
                    <w:snapToGrid w:val="0"/>
                    <w:jc w:val="center"/>
                    <w:rPr>
                      <w:bCs/>
                      <w:szCs w:val="21"/>
                    </w:rPr>
                  </w:pPr>
                  <w:r>
                    <w:rPr>
                      <w:bCs/>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7</w:t>
                  </w:r>
                </w:p>
              </w:tc>
              <w:tc>
                <w:tcPr>
                  <w:tcW w:w="2247" w:type="dxa"/>
                  <w:vAlign w:val="center"/>
                </w:tcPr>
                <w:p>
                  <w:pPr>
                    <w:adjustRightInd w:val="0"/>
                    <w:snapToGrid w:val="0"/>
                    <w:jc w:val="center"/>
                    <w:rPr>
                      <w:bCs/>
                      <w:szCs w:val="21"/>
                    </w:rPr>
                  </w:pPr>
                  <w:r>
                    <w:rPr>
                      <w:bCs/>
                      <w:szCs w:val="21"/>
                    </w:rPr>
                    <w:t>碾环机</w:t>
                  </w:r>
                </w:p>
              </w:tc>
              <w:tc>
                <w:tcPr>
                  <w:tcW w:w="2753" w:type="dxa"/>
                  <w:vAlign w:val="center"/>
                </w:tcPr>
                <w:p>
                  <w:pPr>
                    <w:adjustRightInd w:val="0"/>
                    <w:snapToGrid w:val="0"/>
                    <w:jc w:val="center"/>
                    <w:rPr>
                      <w:bCs/>
                      <w:szCs w:val="21"/>
                    </w:rPr>
                  </w:pPr>
                  <w:r>
                    <w:rPr>
                      <w:bCs/>
                      <w:szCs w:val="21"/>
                    </w:rPr>
                    <w:t>D51-1000</w:t>
                  </w:r>
                </w:p>
              </w:tc>
              <w:tc>
                <w:tcPr>
                  <w:tcW w:w="2128"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4" w:type="dxa"/>
                  <w:vAlign w:val="center"/>
                </w:tcPr>
                <w:p>
                  <w:pPr>
                    <w:adjustRightInd w:val="0"/>
                    <w:snapToGrid w:val="0"/>
                    <w:jc w:val="center"/>
                    <w:rPr>
                      <w:bCs/>
                      <w:szCs w:val="21"/>
                    </w:rPr>
                  </w:pPr>
                  <w:r>
                    <w:rPr>
                      <w:bCs/>
                      <w:szCs w:val="21"/>
                    </w:rPr>
                    <w:t>8</w:t>
                  </w:r>
                </w:p>
              </w:tc>
              <w:tc>
                <w:tcPr>
                  <w:tcW w:w="2247" w:type="dxa"/>
                  <w:vAlign w:val="center"/>
                </w:tcPr>
                <w:p>
                  <w:pPr>
                    <w:adjustRightInd w:val="0"/>
                    <w:snapToGrid w:val="0"/>
                    <w:jc w:val="center"/>
                    <w:rPr>
                      <w:bCs/>
                      <w:szCs w:val="21"/>
                    </w:rPr>
                  </w:pPr>
                  <w:r>
                    <w:rPr>
                      <w:bCs/>
                      <w:szCs w:val="21"/>
                    </w:rPr>
                    <w:t>夹棒锤</w:t>
                  </w:r>
                </w:p>
              </w:tc>
              <w:tc>
                <w:tcPr>
                  <w:tcW w:w="2753" w:type="dxa"/>
                  <w:vAlign w:val="center"/>
                </w:tcPr>
                <w:p>
                  <w:pPr>
                    <w:adjustRightInd w:val="0"/>
                    <w:snapToGrid w:val="0"/>
                    <w:jc w:val="center"/>
                    <w:rPr>
                      <w:bCs/>
                      <w:szCs w:val="21"/>
                    </w:rPr>
                  </w:pPr>
                  <w:r>
                    <w:rPr>
                      <w:bCs/>
                      <w:szCs w:val="21"/>
                    </w:rPr>
                    <w:t>4.5t</w:t>
                  </w:r>
                </w:p>
              </w:tc>
              <w:tc>
                <w:tcPr>
                  <w:tcW w:w="2128" w:type="dxa"/>
                  <w:vAlign w:val="center"/>
                </w:tcPr>
                <w:p>
                  <w:pPr>
                    <w:adjustRightInd w:val="0"/>
                    <w:snapToGrid w:val="0"/>
                    <w:jc w:val="center"/>
                    <w:rPr>
                      <w:bCs/>
                      <w:szCs w:val="21"/>
                    </w:rPr>
                  </w:pPr>
                  <w:r>
                    <w:rPr>
                      <w:bCs/>
                      <w:szCs w:val="21"/>
                    </w:rPr>
                    <w:t>1</w:t>
                  </w:r>
                </w:p>
              </w:tc>
            </w:tr>
          </w:tbl>
          <w:p>
            <w:pPr>
              <w:adjustRightInd w:val="0"/>
              <w:snapToGrid w:val="0"/>
              <w:spacing w:line="360" w:lineRule="auto"/>
              <w:ind w:firstLine="482" w:firstLineChars="200"/>
              <w:rPr>
                <w:b/>
                <w:sz w:val="24"/>
              </w:rPr>
            </w:pPr>
            <w:r>
              <w:rPr>
                <w:rFonts w:hint="eastAsia"/>
                <w:b/>
                <w:sz w:val="24"/>
              </w:rPr>
              <w:t>3</w:t>
            </w:r>
            <w:r>
              <w:rPr>
                <w:b/>
                <w:sz w:val="24"/>
              </w:rPr>
              <w:t>、原辅材料及产品方案</w:t>
            </w:r>
          </w:p>
          <w:p>
            <w:pPr>
              <w:adjustRightInd w:val="0"/>
              <w:snapToGrid w:val="0"/>
              <w:spacing w:line="360" w:lineRule="auto"/>
              <w:jc w:val="center"/>
              <w:rPr>
                <w:b/>
                <w:szCs w:val="21"/>
              </w:rPr>
            </w:pPr>
            <w:r>
              <w:rPr>
                <w:b/>
                <w:szCs w:val="21"/>
              </w:rPr>
              <w:t>表</w:t>
            </w:r>
            <w:r>
              <w:rPr>
                <w:rFonts w:hint="eastAsia"/>
                <w:b/>
                <w:szCs w:val="21"/>
              </w:rPr>
              <w:t>14</w:t>
            </w:r>
            <w:r>
              <w:rPr>
                <w:b/>
                <w:szCs w:val="21"/>
              </w:rPr>
              <w:t xml:space="preserve">  生产规模及产品方案表</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12"/>
              <w:gridCol w:w="1913"/>
              <w:gridCol w:w="2209"/>
              <w:gridCol w:w="1621"/>
              <w:gridCol w:w="148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280" w:type="dxa"/>
                  <w:gridSpan w:val="5"/>
                  <w:vAlign w:val="center"/>
                </w:tcPr>
                <w:p>
                  <w:pPr>
                    <w:adjustRightInd w:val="0"/>
                    <w:snapToGrid w:val="0"/>
                    <w:jc w:val="center"/>
                    <w:rPr>
                      <w:bCs/>
                      <w:szCs w:val="21"/>
                    </w:rPr>
                  </w:pPr>
                  <w:r>
                    <w:rPr>
                      <w:rFonts w:hint="eastAsia"/>
                      <w:bCs/>
                      <w:szCs w:val="21"/>
                    </w:rPr>
                    <w:t>原有</w:t>
                  </w:r>
                  <w:r>
                    <w:rPr>
                      <w:bCs/>
                      <w:szCs w:val="21"/>
                    </w:rPr>
                    <w:t>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16" w:type="dxa"/>
                  <w:vAlign w:val="center"/>
                </w:tcPr>
                <w:p>
                  <w:pPr>
                    <w:adjustRightInd w:val="0"/>
                    <w:snapToGrid w:val="0"/>
                    <w:jc w:val="center"/>
                    <w:rPr>
                      <w:bCs/>
                      <w:szCs w:val="21"/>
                    </w:rPr>
                  </w:pPr>
                  <w:r>
                    <w:rPr>
                      <w:bCs/>
                      <w:szCs w:val="21"/>
                    </w:rPr>
                    <w:t>序号</w:t>
                  </w:r>
                </w:p>
              </w:tc>
              <w:tc>
                <w:tcPr>
                  <w:tcW w:w="1922" w:type="dxa"/>
                  <w:vAlign w:val="center"/>
                </w:tcPr>
                <w:p>
                  <w:pPr>
                    <w:adjustRightInd w:val="0"/>
                    <w:snapToGrid w:val="0"/>
                    <w:jc w:val="center"/>
                    <w:rPr>
                      <w:bCs/>
                      <w:szCs w:val="21"/>
                    </w:rPr>
                  </w:pPr>
                  <w:r>
                    <w:rPr>
                      <w:bCs/>
                      <w:szCs w:val="21"/>
                    </w:rPr>
                    <w:t>产品名称</w:t>
                  </w:r>
                </w:p>
              </w:tc>
              <w:tc>
                <w:tcPr>
                  <w:tcW w:w="2220" w:type="dxa"/>
                  <w:vAlign w:val="center"/>
                </w:tcPr>
                <w:p>
                  <w:pPr>
                    <w:adjustRightInd w:val="0"/>
                    <w:snapToGrid w:val="0"/>
                    <w:jc w:val="center"/>
                    <w:rPr>
                      <w:bCs/>
                      <w:szCs w:val="21"/>
                    </w:rPr>
                  </w:pPr>
                  <w:r>
                    <w:rPr>
                      <w:bCs/>
                      <w:szCs w:val="21"/>
                    </w:rPr>
                    <w:t>规格及型号</w:t>
                  </w:r>
                </w:p>
              </w:tc>
              <w:tc>
                <w:tcPr>
                  <w:tcW w:w="1628" w:type="dxa"/>
                  <w:vAlign w:val="center"/>
                </w:tcPr>
                <w:p>
                  <w:pPr>
                    <w:adjustRightInd w:val="0"/>
                    <w:snapToGrid w:val="0"/>
                    <w:jc w:val="center"/>
                    <w:rPr>
                      <w:bCs/>
                      <w:szCs w:val="21"/>
                    </w:rPr>
                  </w:pPr>
                  <w:r>
                    <w:rPr>
                      <w:bCs/>
                      <w:szCs w:val="21"/>
                    </w:rPr>
                    <w:t>规模</w:t>
                  </w:r>
                </w:p>
              </w:tc>
              <w:tc>
                <w:tcPr>
                  <w:tcW w:w="1494" w:type="dxa"/>
                  <w:vAlign w:val="center"/>
                </w:tcPr>
                <w:p>
                  <w:pPr>
                    <w:adjustRightInd w:val="0"/>
                    <w:snapToGrid w:val="0"/>
                    <w:jc w:val="center"/>
                    <w:rPr>
                      <w:bCs/>
                      <w:szCs w:val="21"/>
                    </w:rPr>
                  </w:pPr>
                  <w:r>
                    <w:rPr>
                      <w:bCs/>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16" w:type="dxa"/>
                  <w:vAlign w:val="center"/>
                </w:tcPr>
                <w:p>
                  <w:pPr>
                    <w:adjustRightInd w:val="0"/>
                    <w:snapToGrid w:val="0"/>
                    <w:jc w:val="center"/>
                    <w:rPr>
                      <w:bCs/>
                      <w:szCs w:val="21"/>
                    </w:rPr>
                  </w:pPr>
                  <w:r>
                    <w:rPr>
                      <w:rFonts w:hint="eastAsia"/>
                      <w:bCs/>
                      <w:szCs w:val="21"/>
                    </w:rPr>
                    <w:t>1</w:t>
                  </w:r>
                </w:p>
              </w:tc>
              <w:tc>
                <w:tcPr>
                  <w:tcW w:w="1922" w:type="dxa"/>
                  <w:vAlign w:val="center"/>
                </w:tcPr>
                <w:p>
                  <w:pPr>
                    <w:adjustRightInd w:val="0"/>
                    <w:snapToGrid w:val="0"/>
                    <w:jc w:val="center"/>
                    <w:rPr>
                      <w:bCs/>
                      <w:szCs w:val="21"/>
                    </w:rPr>
                  </w:pPr>
                  <w:r>
                    <w:rPr>
                      <w:bCs/>
                      <w:szCs w:val="21"/>
                    </w:rPr>
                    <w:t>锻件、法兰</w:t>
                  </w:r>
                </w:p>
              </w:tc>
              <w:tc>
                <w:tcPr>
                  <w:tcW w:w="2220" w:type="dxa"/>
                  <w:vAlign w:val="center"/>
                </w:tcPr>
                <w:p>
                  <w:pPr>
                    <w:adjustRightInd w:val="0"/>
                    <w:snapToGrid w:val="0"/>
                    <w:jc w:val="center"/>
                    <w:rPr>
                      <w:bCs/>
                      <w:szCs w:val="21"/>
                    </w:rPr>
                  </w:pPr>
                  <w:r>
                    <w:rPr>
                      <w:bCs/>
                      <w:szCs w:val="21"/>
                    </w:rPr>
                    <w:t>φ15～1000mm</w:t>
                  </w:r>
                </w:p>
              </w:tc>
              <w:tc>
                <w:tcPr>
                  <w:tcW w:w="1628" w:type="dxa"/>
                  <w:vAlign w:val="center"/>
                </w:tcPr>
                <w:p>
                  <w:pPr>
                    <w:adjustRightInd w:val="0"/>
                    <w:snapToGrid w:val="0"/>
                    <w:jc w:val="center"/>
                    <w:rPr>
                      <w:bCs/>
                      <w:szCs w:val="21"/>
                    </w:rPr>
                  </w:pPr>
                  <w:r>
                    <w:rPr>
                      <w:rFonts w:hint="eastAsia"/>
                      <w:bCs/>
                      <w:szCs w:val="21"/>
                    </w:rPr>
                    <w:t>500t/a</w:t>
                  </w:r>
                </w:p>
              </w:tc>
              <w:tc>
                <w:tcPr>
                  <w:tcW w:w="1494" w:type="dxa"/>
                  <w:vAlign w:val="center"/>
                </w:tcPr>
                <w:p>
                  <w:pPr>
                    <w:adjustRightInd w:val="0"/>
                    <w:snapToGrid w:val="0"/>
                    <w:jc w:val="center"/>
                    <w:rPr>
                      <w:bCs/>
                      <w:szCs w:val="21"/>
                    </w:rPr>
                  </w:pPr>
                </w:p>
              </w:tc>
            </w:tr>
          </w:tbl>
          <w:p>
            <w:pPr>
              <w:adjustRightInd w:val="0"/>
              <w:snapToGrid w:val="0"/>
              <w:spacing w:line="360" w:lineRule="auto"/>
              <w:jc w:val="center"/>
              <w:rPr>
                <w:b/>
                <w:szCs w:val="21"/>
              </w:rPr>
            </w:pPr>
            <w:r>
              <w:rPr>
                <w:b/>
                <w:szCs w:val="21"/>
              </w:rPr>
              <w:t>表</w:t>
            </w:r>
            <w:r>
              <w:rPr>
                <w:rFonts w:hint="eastAsia"/>
                <w:b/>
                <w:szCs w:val="21"/>
              </w:rPr>
              <w:t>15</w:t>
            </w:r>
            <w:r>
              <w:rPr>
                <w:b/>
                <w:szCs w:val="21"/>
              </w:rPr>
              <w:t xml:space="preserve">  原辅材料用量表</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9"/>
              <w:gridCol w:w="2036"/>
              <w:gridCol w:w="1576"/>
              <w:gridCol w:w="1783"/>
              <w:gridCol w:w="20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8" w:type="dxa"/>
                  <w:vAlign w:val="center"/>
                </w:tcPr>
                <w:p>
                  <w:pPr>
                    <w:adjustRightInd w:val="0"/>
                    <w:snapToGrid w:val="0"/>
                    <w:jc w:val="center"/>
                    <w:rPr>
                      <w:bCs/>
                      <w:szCs w:val="21"/>
                    </w:rPr>
                  </w:pPr>
                  <w:r>
                    <w:rPr>
                      <w:bCs/>
                      <w:szCs w:val="21"/>
                    </w:rPr>
                    <w:t>序号</w:t>
                  </w:r>
                </w:p>
              </w:tc>
              <w:tc>
                <w:tcPr>
                  <w:tcW w:w="1102" w:type="dxa"/>
                  <w:vAlign w:val="center"/>
                </w:tcPr>
                <w:p>
                  <w:pPr>
                    <w:adjustRightInd w:val="0"/>
                    <w:snapToGrid w:val="0"/>
                    <w:jc w:val="center"/>
                    <w:rPr>
                      <w:bCs/>
                      <w:szCs w:val="21"/>
                    </w:rPr>
                  </w:pPr>
                  <w:r>
                    <w:rPr>
                      <w:bCs/>
                      <w:szCs w:val="21"/>
                    </w:rPr>
                    <w:t>原料名称</w:t>
                  </w:r>
                </w:p>
              </w:tc>
              <w:tc>
                <w:tcPr>
                  <w:tcW w:w="853" w:type="dxa"/>
                  <w:vAlign w:val="center"/>
                </w:tcPr>
                <w:p>
                  <w:pPr>
                    <w:adjustRightInd w:val="0"/>
                    <w:snapToGrid w:val="0"/>
                    <w:jc w:val="center"/>
                    <w:rPr>
                      <w:bCs/>
                      <w:szCs w:val="21"/>
                    </w:rPr>
                  </w:pPr>
                  <w:r>
                    <w:rPr>
                      <w:bCs/>
                      <w:szCs w:val="21"/>
                    </w:rPr>
                    <w:t>单位</w:t>
                  </w:r>
                </w:p>
              </w:tc>
              <w:tc>
                <w:tcPr>
                  <w:tcW w:w="965" w:type="dxa"/>
                  <w:vAlign w:val="center"/>
                </w:tcPr>
                <w:p>
                  <w:pPr>
                    <w:adjustRightInd w:val="0"/>
                    <w:snapToGrid w:val="0"/>
                    <w:jc w:val="center"/>
                    <w:rPr>
                      <w:bCs/>
                      <w:szCs w:val="21"/>
                    </w:rPr>
                  </w:pPr>
                  <w:r>
                    <w:rPr>
                      <w:bCs/>
                      <w:szCs w:val="21"/>
                    </w:rPr>
                    <w:t>现有工程用量</w:t>
                  </w:r>
                </w:p>
              </w:tc>
              <w:tc>
                <w:tcPr>
                  <w:tcW w:w="1103" w:type="dxa"/>
                  <w:vAlign w:val="center"/>
                </w:tcPr>
                <w:p>
                  <w:pPr>
                    <w:adjustRightInd w:val="0"/>
                    <w:snapToGrid w:val="0"/>
                    <w:jc w:val="center"/>
                    <w:rPr>
                      <w:bCs/>
                      <w:szCs w:val="21"/>
                    </w:rPr>
                  </w:pPr>
                  <w:r>
                    <w:rPr>
                      <w:bCs/>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8" w:type="dxa"/>
                  <w:vAlign w:val="center"/>
                </w:tcPr>
                <w:p>
                  <w:pPr>
                    <w:adjustRightInd w:val="0"/>
                    <w:snapToGrid w:val="0"/>
                    <w:jc w:val="center"/>
                    <w:rPr>
                      <w:bCs/>
                      <w:szCs w:val="21"/>
                    </w:rPr>
                  </w:pPr>
                  <w:r>
                    <w:rPr>
                      <w:bCs/>
                      <w:szCs w:val="21"/>
                    </w:rPr>
                    <w:t>1</w:t>
                  </w:r>
                </w:p>
              </w:tc>
              <w:tc>
                <w:tcPr>
                  <w:tcW w:w="1102" w:type="dxa"/>
                  <w:vAlign w:val="center"/>
                </w:tcPr>
                <w:p>
                  <w:pPr>
                    <w:adjustRightInd w:val="0"/>
                    <w:snapToGrid w:val="0"/>
                    <w:jc w:val="center"/>
                    <w:rPr>
                      <w:bCs/>
                      <w:szCs w:val="21"/>
                    </w:rPr>
                  </w:pPr>
                  <w:r>
                    <w:rPr>
                      <w:bCs/>
                      <w:szCs w:val="21"/>
                    </w:rPr>
                    <w:t>钢材</w:t>
                  </w:r>
                </w:p>
              </w:tc>
              <w:tc>
                <w:tcPr>
                  <w:tcW w:w="853" w:type="dxa"/>
                  <w:vAlign w:val="center"/>
                </w:tcPr>
                <w:p>
                  <w:pPr>
                    <w:adjustRightInd w:val="0"/>
                    <w:snapToGrid w:val="0"/>
                    <w:jc w:val="center"/>
                    <w:rPr>
                      <w:bCs/>
                      <w:szCs w:val="21"/>
                    </w:rPr>
                  </w:pPr>
                  <w:r>
                    <w:rPr>
                      <w:bCs/>
                      <w:szCs w:val="21"/>
                    </w:rPr>
                    <w:t>t/a</w:t>
                  </w:r>
                </w:p>
              </w:tc>
              <w:tc>
                <w:tcPr>
                  <w:tcW w:w="965" w:type="dxa"/>
                  <w:vAlign w:val="center"/>
                </w:tcPr>
                <w:p>
                  <w:pPr>
                    <w:adjustRightInd w:val="0"/>
                    <w:snapToGrid w:val="0"/>
                    <w:jc w:val="center"/>
                    <w:rPr>
                      <w:bCs/>
                      <w:szCs w:val="21"/>
                    </w:rPr>
                  </w:pPr>
                  <w:r>
                    <w:rPr>
                      <w:bCs/>
                      <w:szCs w:val="21"/>
                    </w:rPr>
                    <w:t>750</w:t>
                  </w:r>
                </w:p>
              </w:tc>
              <w:tc>
                <w:tcPr>
                  <w:tcW w:w="1103"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8" w:type="dxa"/>
                  <w:vAlign w:val="center"/>
                </w:tcPr>
                <w:p>
                  <w:pPr>
                    <w:adjustRightInd w:val="0"/>
                    <w:snapToGrid w:val="0"/>
                    <w:jc w:val="center"/>
                    <w:rPr>
                      <w:bCs/>
                      <w:szCs w:val="21"/>
                    </w:rPr>
                  </w:pPr>
                  <w:r>
                    <w:rPr>
                      <w:bCs/>
                      <w:szCs w:val="21"/>
                    </w:rPr>
                    <w:t>2</w:t>
                  </w:r>
                </w:p>
              </w:tc>
              <w:tc>
                <w:tcPr>
                  <w:tcW w:w="1102" w:type="dxa"/>
                  <w:vAlign w:val="center"/>
                </w:tcPr>
                <w:p>
                  <w:pPr>
                    <w:adjustRightInd w:val="0"/>
                    <w:snapToGrid w:val="0"/>
                    <w:jc w:val="center"/>
                    <w:rPr>
                      <w:bCs/>
                      <w:szCs w:val="21"/>
                    </w:rPr>
                  </w:pPr>
                  <w:r>
                    <w:rPr>
                      <w:rFonts w:hint="eastAsia"/>
                      <w:bCs/>
                      <w:szCs w:val="21"/>
                    </w:rPr>
                    <w:t>煤</w:t>
                  </w:r>
                </w:p>
              </w:tc>
              <w:tc>
                <w:tcPr>
                  <w:tcW w:w="853" w:type="dxa"/>
                  <w:vAlign w:val="center"/>
                </w:tcPr>
                <w:p>
                  <w:pPr>
                    <w:adjustRightInd w:val="0"/>
                    <w:snapToGrid w:val="0"/>
                    <w:jc w:val="center"/>
                    <w:rPr>
                      <w:bCs/>
                      <w:szCs w:val="21"/>
                    </w:rPr>
                  </w:pPr>
                  <w:r>
                    <w:rPr>
                      <w:rFonts w:hint="eastAsia"/>
                      <w:bCs/>
                      <w:szCs w:val="21"/>
                    </w:rPr>
                    <w:t>t/a</w:t>
                  </w:r>
                </w:p>
              </w:tc>
              <w:tc>
                <w:tcPr>
                  <w:tcW w:w="965" w:type="dxa"/>
                  <w:vAlign w:val="center"/>
                </w:tcPr>
                <w:p>
                  <w:pPr>
                    <w:adjustRightInd w:val="0"/>
                    <w:snapToGrid w:val="0"/>
                    <w:jc w:val="center"/>
                    <w:rPr>
                      <w:bCs/>
                      <w:szCs w:val="21"/>
                    </w:rPr>
                  </w:pPr>
                  <w:r>
                    <w:rPr>
                      <w:rFonts w:hint="eastAsia"/>
                      <w:bCs/>
                      <w:szCs w:val="21"/>
                    </w:rPr>
                    <w:t>800</w:t>
                  </w:r>
                </w:p>
              </w:tc>
              <w:tc>
                <w:tcPr>
                  <w:tcW w:w="1103"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8" w:type="dxa"/>
                  <w:vAlign w:val="center"/>
                </w:tcPr>
                <w:p>
                  <w:pPr>
                    <w:adjustRightInd w:val="0"/>
                    <w:snapToGrid w:val="0"/>
                    <w:jc w:val="center"/>
                    <w:rPr>
                      <w:bCs/>
                      <w:szCs w:val="21"/>
                    </w:rPr>
                  </w:pPr>
                  <w:r>
                    <w:rPr>
                      <w:bCs/>
                      <w:szCs w:val="21"/>
                    </w:rPr>
                    <w:t>3</w:t>
                  </w:r>
                </w:p>
              </w:tc>
              <w:tc>
                <w:tcPr>
                  <w:tcW w:w="1102" w:type="dxa"/>
                  <w:vAlign w:val="center"/>
                </w:tcPr>
                <w:p>
                  <w:pPr>
                    <w:adjustRightInd w:val="0"/>
                    <w:snapToGrid w:val="0"/>
                    <w:jc w:val="center"/>
                    <w:rPr>
                      <w:bCs/>
                      <w:szCs w:val="21"/>
                    </w:rPr>
                  </w:pPr>
                  <w:r>
                    <w:rPr>
                      <w:bCs/>
                      <w:szCs w:val="21"/>
                    </w:rPr>
                    <w:t>水</w:t>
                  </w:r>
                </w:p>
              </w:tc>
              <w:tc>
                <w:tcPr>
                  <w:tcW w:w="853" w:type="dxa"/>
                  <w:vAlign w:val="center"/>
                </w:tcPr>
                <w:p>
                  <w:pPr>
                    <w:adjustRightInd w:val="0"/>
                    <w:snapToGrid w:val="0"/>
                    <w:jc w:val="center"/>
                    <w:rPr>
                      <w:bCs/>
                      <w:szCs w:val="21"/>
                    </w:rPr>
                  </w:pPr>
                  <w:r>
                    <w:rPr>
                      <w:bCs/>
                      <w:szCs w:val="21"/>
                    </w:rPr>
                    <w:t>m</w:t>
                  </w:r>
                  <w:r>
                    <w:rPr>
                      <w:bCs/>
                      <w:szCs w:val="21"/>
                      <w:vertAlign w:val="superscript"/>
                    </w:rPr>
                    <w:t>3</w:t>
                  </w:r>
                  <w:r>
                    <w:rPr>
                      <w:bCs/>
                      <w:szCs w:val="21"/>
                    </w:rPr>
                    <w:t>/a</w:t>
                  </w:r>
                </w:p>
              </w:tc>
              <w:tc>
                <w:tcPr>
                  <w:tcW w:w="965" w:type="dxa"/>
                  <w:vAlign w:val="center"/>
                </w:tcPr>
                <w:p>
                  <w:pPr>
                    <w:adjustRightInd w:val="0"/>
                    <w:snapToGrid w:val="0"/>
                    <w:jc w:val="center"/>
                    <w:rPr>
                      <w:bCs/>
                      <w:szCs w:val="21"/>
                    </w:rPr>
                  </w:pPr>
                  <w:r>
                    <w:rPr>
                      <w:bCs/>
                      <w:szCs w:val="21"/>
                    </w:rPr>
                    <w:t>45</w:t>
                  </w:r>
                </w:p>
              </w:tc>
              <w:tc>
                <w:tcPr>
                  <w:tcW w:w="1103"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8" w:type="dxa"/>
                  <w:vAlign w:val="center"/>
                </w:tcPr>
                <w:p>
                  <w:pPr>
                    <w:adjustRightInd w:val="0"/>
                    <w:snapToGrid w:val="0"/>
                    <w:jc w:val="center"/>
                    <w:rPr>
                      <w:bCs/>
                      <w:szCs w:val="21"/>
                    </w:rPr>
                  </w:pPr>
                  <w:r>
                    <w:rPr>
                      <w:bCs/>
                      <w:szCs w:val="21"/>
                    </w:rPr>
                    <w:t>4</w:t>
                  </w:r>
                </w:p>
              </w:tc>
              <w:tc>
                <w:tcPr>
                  <w:tcW w:w="1102" w:type="dxa"/>
                  <w:vAlign w:val="center"/>
                </w:tcPr>
                <w:p>
                  <w:pPr>
                    <w:adjustRightInd w:val="0"/>
                    <w:snapToGrid w:val="0"/>
                    <w:jc w:val="center"/>
                    <w:rPr>
                      <w:bCs/>
                      <w:szCs w:val="21"/>
                    </w:rPr>
                  </w:pPr>
                  <w:r>
                    <w:rPr>
                      <w:bCs/>
                      <w:szCs w:val="21"/>
                    </w:rPr>
                    <w:t>电</w:t>
                  </w:r>
                </w:p>
              </w:tc>
              <w:tc>
                <w:tcPr>
                  <w:tcW w:w="853" w:type="dxa"/>
                  <w:vAlign w:val="center"/>
                </w:tcPr>
                <w:p>
                  <w:pPr>
                    <w:adjustRightInd w:val="0"/>
                    <w:snapToGrid w:val="0"/>
                    <w:jc w:val="center"/>
                    <w:rPr>
                      <w:bCs/>
                      <w:szCs w:val="21"/>
                    </w:rPr>
                  </w:pPr>
                  <w:r>
                    <w:rPr>
                      <w:bCs/>
                      <w:szCs w:val="21"/>
                    </w:rPr>
                    <w:t>kWh/a</w:t>
                  </w:r>
                </w:p>
              </w:tc>
              <w:tc>
                <w:tcPr>
                  <w:tcW w:w="965" w:type="dxa"/>
                  <w:vAlign w:val="center"/>
                </w:tcPr>
                <w:p>
                  <w:pPr>
                    <w:adjustRightInd w:val="0"/>
                    <w:snapToGrid w:val="0"/>
                    <w:jc w:val="center"/>
                    <w:rPr>
                      <w:bCs/>
                      <w:szCs w:val="21"/>
                    </w:rPr>
                  </w:pPr>
                  <w:r>
                    <w:rPr>
                      <w:bCs/>
                      <w:szCs w:val="21"/>
                    </w:rPr>
                    <w:t>7.5×10</w:t>
                  </w:r>
                  <w:r>
                    <w:rPr>
                      <w:bCs/>
                      <w:szCs w:val="21"/>
                      <w:vertAlign w:val="superscript"/>
                    </w:rPr>
                    <w:t>4</w:t>
                  </w:r>
                </w:p>
              </w:tc>
              <w:tc>
                <w:tcPr>
                  <w:tcW w:w="1103"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8" w:type="dxa"/>
                  <w:vAlign w:val="center"/>
                </w:tcPr>
                <w:p>
                  <w:pPr>
                    <w:adjustRightInd w:val="0"/>
                    <w:snapToGrid w:val="0"/>
                    <w:jc w:val="center"/>
                    <w:rPr>
                      <w:bCs/>
                      <w:szCs w:val="21"/>
                    </w:rPr>
                  </w:pPr>
                  <w:r>
                    <w:rPr>
                      <w:bCs/>
                      <w:szCs w:val="21"/>
                    </w:rPr>
                    <w:t>5</w:t>
                  </w:r>
                </w:p>
              </w:tc>
              <w:tc>
                <w:tcPr>
                  <w:tcW w:w="1102" w:type="dxa"/>
                  <w:vAlign w:val="center"/>
                </w:tcPr>
                <w:p>
                  <w:pPr>
                    <w:adjustRightInd w:val="0"/>
                    <w:snapToGrid w:val="0"/>
                    <w:jc w:val="center"/>
                    <w:rPr>
                      <w:bCs/>
                      <w:szCs w:val="21"/>
                    </w:rPr>
                  </w:pPr>
                  <w:r>
                    <w:rPr>
                      <w:bCs/>
                      <w:szCs w:val="21"/>
                    </w:rPr>
                    <w:t>机油</w:t>
                  </w:r>
                </w:p>
              </w:tc>
              <w:tc>
                <w:tcPr>
                  <w:tcW w:w="853" w:type="dxa"/>
                  <w:vAlign w:val="center"/>
                </w:tcPr>
                <w:p>
                  <w:pPr>
                    <w:adjustRightInd w:val="0"/>
                    <w:snapToGrid w:val="0"/>
                    <w:jc w:val="center"/>
                    <w:rPr>
                      <w:bCs/>
                      <w:szCs w:val="21"/>
                    </w:rPr>
                  </w:pPr>
                  <w:r>
                    <w:rPr>
                      <w:bCs/>
                      <w:szCs w:val="21"/>
                    </w:rPr>
                    <w:t>t/a</w:t>
                  </w:r>
                </w:p>
              </w:tc>
              <w:tc>
                <w:tcPr>
                  <w:tcW w:w="965" w:type="dxa"/>
                  <w:vAlign w:val="center"/>
                </w:tcPr>
                <w:p>
                  <w:pPr>
                    <w:adjustRightInd w:val="0"/>
                    <w:snapToGrid w:val="0"/>
                    <w:jc w:val="center"/>
                    <w:rPr>
                      <w:bCs/>
                      <w:szCs w:val="21"/>
                    </w:rPr>
                  </w:pPr>
                  <w:r>
                    <w:rPr>
                      <w:bCs/>
                      <w:szCs w:val="21"/>
                    </w:rPr>
                    <w:t>0.1</w:t>
                  </w:r>
                </w:p>
              </w:tc>
              <w:tc>
                <w:tcPr>
                  <w:tcW w:w="1103"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8" w:type="dxa"/>
                  <w:vAlign w:val="center"/>
                </w:tcPr>
                <w:p>
                  <w:pPr>
                    <w:adjustRightInd w:val="0"/>
                    <w:snapToGrid w:val="0"/>
                    <w:jc w:val="center"/>
                    <w:rPr>
                      <w:bCs/>
                      <w:szCs w:val="21"/>
                    </w:rPr>
                  </w:pPr>
                  <w:r>
                    <w:rPr>
                      <w:bCs/>
                      <w:szCs w:val="21"/>
                    </w:rPr>
                    <w:t>6</w:t>
                  </w:r>
                </w:p>
              </w:tc>
              <w:tc>
                <w:tcPr>
                  <w:tcW w:w="1102" w:type="dxa"/>
                  <w:vAlign w:val="center"/>
                </w:tcPr>
                <w:p>
                  <w:pPr>
                    <w:adjustRightInd w:val="0"/>
                    <w:snapToGrid w:val="0"/>
                    <w:jc w:val="center"/>
                    <w:rPr>
                      <w:bCs/>
                      <w:szCs w:val="21"/>
                    </w:rPr>
                  </w:pPr>
                  <w:r>
                    <w:rPr>
                      <w:bCs/>
                      <w:szCs w:val="21"/>
                    </w:rPr>
                    <w:t>乳化液</w:t>
                  </w:r>
                </w:p>
              </w:tc>
              <w:tc>
                <w:tcPr>
                  <w:tcW w:w="853" w:type="dxa"/>
                  <w:vAlign w:val="center"/>
                </w:tcPr>
                <w:p>
                  <w:pPr>
                    <w:adjustRightInd w:val="0"/>
                    <w:snapToGrid w:val="0"/>
                    <w:jc w:val="center"/>
                    <w:rPr>
                      <w:bCs/>
                      <w:szCs w:val="21"/>
                    </w:rPr>
                  </w:pPr>
                  <w:r>
                    <w:rPr>
                      <w:bCs/>
                      <w:szCs w:val="21"/>
                    </w:rPr>
                    <w:t>t/a</w:t>
                  </w:r>
                </w:p>
              </w:tc>
              <w:tc>
                <w:tcPr>
                  <w:tcW w:w="965" w:type="dxa"/>
                  <w:vAlign w:val="center"/>
                </w:tcPr>
                <w:p>
                  <w:pPr>
                    <w:adjustRightInd w:val="0"/>
                    <w:snapToGrid w:val="0"/>
                    <w:jc w:val="center"/>
                    <w:rPr>
                      <w:bCs/>
                      <w:szCs w:val="21"/>
                    </w:rPr>
                  </w:pPr>
                  <w:r>
                    <w:rPr>
                      <w:bCs/>
                      <w:szCs w:val="21"/>
                    </w:rPr>
                    <w:t>0.1</w:t>
                  </w:r>
                </w:p>
              </w:tc>
              <w:tc>
                <w:tcPr>
                  <w:tcW w:w="1103" w:type="dxa"/>
                  <w:vAlign w:val="center"/>
                </w:tcPr>
                <w:p>
                  <w:pPr>
                    <w:adjustRightInd w:val="0"/>
                    <w:snapToGrid w:val="0"/>
                    <w:jc w:val="center"/>
                    <w:rPr>
                      <w:bCs/>
                      <w:szCs w:val="21"/>
                    </w:rPr>
                  </w:pPr>
                </w:p>
              </w:tc>
            </w:tr>
          </w:tbl>
          <w:p>
            <w:pPr>
              <w:adjustRightInd w:val="0"/>
              <w:snapToGrid w:val="0"/>
              <w:spacing w:line="360" w:lineRule="auto"/>
              <w:rPr>
                <w:b/>
                <w:sz w:val="24"/>
                <w:szCs w:val="30"/>
                <w:lang w:bidi="mn-Mong-CN"/>
              </w:rPr>
            </w:pPr>
            <w:r>
              <w:rPr>
                <w:b/>
                <w:sz w:val="24"/>
                <w:szCs w:val="30"/>
                <w:lang w:bidi="mn-Mong-CN"/>
              </w:rPr>
              <w:t>二、现有工程环保手续</w:t>
            </w:r>
          </w:p>
          <w:p>
            <w:pPr>
              <w:adjustRightInd w:val="0"/>
              <w:snapToGrid w:val="0"/>
              <w:spacing w:line="360" w:lineRule="auto"/>
              <w:ind w:firstLine="480" w:firstLineChars="200"/>
              <w:rPr>
                <w:bCs/>
                <w:sz w:val="24"/>
                <w:szCs w:val="30"/>
                <w:lang w:bidi="mn-Mong-CN"/>
              </w:rPr>
            </w:pPr>
            <w:r>
              <w:rPr>
                <w:bCs/>
                <w:sz w:val="24"/>
                <w:szCs w:val="30"/>
                <w:lang w:bidi="mn-Mong-CN"/>
              </w:rPr>
              <w:t>2007年5月17日，定襄县环境保护局对企业现有工程“定襄鑫康机械加工厂500吨/年法兰盘生产线技术改造项目”进行了批复，</w:t>
            </w:r>
          </w:p>
          <w:p>
            <w:pPr>
              <w:adjustRightInd w:val="0"/>
              <w:snapToGrid w:val="0"/>
              <w:spacing w:line="360" w:lineRule="auto"/>
              <w:ind w:firstLine="480" w:firstLineChars="200"/>
              <w:rPr>
                <w:bCs/>
                <w:sz w:val="24"/>
                <w:szCs w:val="30"/>
                <w:lang w:bidi="mn-Mong-CN"/>
              </w:rPr>
            </w:pPr>
            <w:r>
              <w:rPr>
                <w:bCs/>
                <w:sz w:val="24"/>
                <w:szCs w:val="30"/>
                <w:lang w:bidi="mn-Mong-CN"/>
              </w:rPr>
              <w:t>2008年9月23日，定襄县环保局以环验（2008）136号文对“定襄鑫康机械加工厂500吨/年法兰盘生产线技术改造项目”出具了竣工环境保护验收意见。</w:t>
            </w:r>
          </w:p>
          <w:p>
            <w:pPr>
              <w:adjustRightInd w:val="0"/>
              <w:snapToGrid w:val="0"/>
              <w:spacing w:line="360" w:lineRule="auto"/>
              <w:ind w:firstLine="480" w:firstLineChars="200"/>
              <w:rPr>
                <w:bCs/>
                <w:sz w:val="24"/>
                <w:szCs w:val="30"/>
                <w:lang w:bidi="mn-Mong-CN"/>
              </w:rPr>
            </w:pPr>
            <w:r>
              <w:rPr>
                <w:bCs/>
                <w:sz w:val="24"/>
                <w:szCs w:val="30"/>
                <w:lang w:bidi="mn-Mong-CN"/>
              </w:rPr>
              <w:t>2008年11月9日定襄县环境保护局发放了排污许可证，许可证编号：1422000373。</w:t>
            </w:r>
          </w:p>
          <w:p>
            <w:pPr>
              <w:adjustRightInd w:val="0"/>
              <w:snapToGrid w:val="0"/>
              <w:spacing w:line="360" w:lineRule="auto"/>
              <w:rPr>
                <w:b/>
                <w:sz w:val="24"/>
                <w:szCs w:val="30"/>
                <w:lang w:bidi="mn-Mong-CN"/>
              </w:rPr>
            </w:pPr>
            <w:r>
              <w:rPr>
                <w:b/>
                <w:sz w:val="24"/>
                <w:szCs w:val="30"/>
                <w:lang w:bidi="mn-Mong-CN"/>
              </w:rPr>
              <w:t>三、现有工程污染物排放</w:t>
            </w:r>
          </w:p>
          <w:p>
            <w:pPr>
              <w:adjustRightInd w:val="0"/>
              <w:snapToGrid w:val="0"/>
              <w:spacing w:line="360" w:lineRule="auto"/>
              <w:ind w:firstLine="480" w:firstLineChars="200"/>
              <w:rPr>
                <w:bCs/>
                <w:sz w:val="24"/>
                <w:szCs w:val="32"/>
                <w:lang w:bidi="mn-Mong-CN"/>
              </w:rPr>
            </w:pPr>
            <w:r>
              <w:rPr>
                <w:bCs/>
                <w:sz w:val="24"/>
                <w:szCs w:val="32"/>
                <w:lang w:bidi="mn-Mong-CN"/>
              </w:rPr>
              <w:t>企业于2015年停产至今，燃煤锅炉及其配套设备已经拆除。</w:t>
            </w:r>
          </w:p>
          <w:p>
            <w:pPr>
              <w:adjustRightInd w:val="0"/>
              <w:snapToGrid w:val="0"/>
              <w:spacing w:line="360" w:lineRule="auto"/>
              <w:ind w:firstLine="480" w:firstLineChars="200"/>
              <w:rPr>
                <w:bCs/>
                <w:sz w:val="24"/>
                <w:szCs w:val="32"/>
                <w:lang w:bidi="mn-Mong-CN"/>
              </w:rPr>
            </w:pPr>
            <w:r>
              <w:rPr>
                <w:bCs/>
                <w:sz w:val="24"/>
                <w:szCs w:val="32"/>
                <w:lang w:bidi="mn-Mong-CN"/>
              </w:rPr>
              <w:t>（1）现有废气产生及排放情况</w:t>
            </w:r>
          </w:p>
          <w:p>
            <w:pPr>
              <w:adjustRightInd w:val="0"/>
              <w:snapToGrid w:val="0"/>
              <w:spacing w:line="360" w:lineRule="auto"/>
              <w:ind w:firstLine="480" w:firstLineChars="200"/>
              <w:rPr>
                <w:bCs/>
                <w:sz w:val="24"/>
                <w:szCs w:val="32"/>
                <w:lang w:bidi="mn-Mong-CN"/>
              </w:rPr>
            </w:pPr>
            <w:r>
              <w:rPr>
                <w:bCs/>
                <w:sz w:val="24"/>
                <w:szCs w:val="32"/>
                <w:lang w:bidi="mn-Mong-CN"/>
              </w:rPr>
              <w:t>现有工程采用燃煤加热炉，燃煤产生废气污染物主要为颗粒物、SO</w:t>
            </w:r>
            <w:r>
              <w:rPr>
                <w:bCs/>
                <w:sz w:val="24"/>
                <w:szCs w:val="32"/>
                <w:vertAlign w:val="subscript"/>
                <w:lang w:bidi="mn-Mong-CN"/>
              </w:rPr>
              <w:t>2</w:t>
            </w:r>
            <w:r>
              <w:rPr>
                <w:bCs/>
                <w:sz w:val="24"/>
                <w:szCs w:val="32"/>
                <w:lang w:bidi="mn-Mong-CN"/>
              </w:rPr>
              <w:t>、NO</w:t>
            </w:r>
            <w:r>
              <w:rPr>
                <w:bCs/>
                <w:sz w:val="24"/>
                <w:szCs w:val="32"/>
                <w:vertAlign w:val="subscript"/>
                <w:lang w:bidi="mn-Mong-CN"/>
              </w:rPr>
              <w:t>X</w:t>
            </w:r>
            <w:r>
              <w:rPr>
                <w:bCs/>
                <w:sz w:val="24"/>
                <w:szCs w:val="32"/>
                <w:lang w:bidi="mn-Mong-CN"/>
              </w:rPr>
              <w:t>，采用湿法脱硫除尘装置处理后，经过高18m的排气筒达标排放。</w:t>
            </w:r>
          </w:p>
          <w:p>
            <w:pPr>
              <w:adjustRightInd w:val="0"/>
              <w:snapToGrid w:val="0"/>
              <w:spacing w:line="360" w:lineRule="auto"/>
              <w:ind w:firstLine="480" w:firstLineChars="200"/>
              <w:rPr>
                <w:bCs/>
                <w:sz w:val="24"/>
                <w:szCs w:val="32"/>
                <w:lang w:bidi="mn-Mong-CN"/>
              </w:rPr>
            </w:pPr>
            <w:r>
              <w:rPr>
                <w:bCs/>
                <w:sz w:val="24"/>
                <w:szCs w:val="32"/>
                <w:lang w:bidi="mn-Mong-CN"/>
              </w:rPr>
              <w:t>烟尘及SO</w:t>
            </w:r>
            <w:r>
              <w:rPr>
                <w:bCs/>
                <w:sz w:val="24"/>
                <w:szCs w:val="32"/>
                <w:vertAlign w:val="subscript"/>
                <w:lang w:bidi="mn-Mong-CN"/>
              </w:rPr>
              <w:t>2</w:t>
            </w:r>
            <w:r>
              <w:rPr>
                <w:bCs/>
                <w:sz w:val="24"/>
                <w:szCs w:val="32"/>
                <w:lang w:bidi="mn-Mong-CN"/>
              </w:rPr>
              <w:t>根据《定襄县鑫康机械加工厂年产500吨/年法兰盘生产线技术改造项目建设项目环境影响报告表》、《定襄县鑫康机械加工厂年产500吨/年法兰盘生产线技术改造项目建设项目竣工环境保护验收申请表》确定，NO</w:t>
            </w:r>
            <w:r>
              <w:rPr>
                <w:bCs/>
                <w:sz w:val="24"/>
                <w:szCs w:val="32"/>
                <w:vertAlign w:val="subscript"/>
                <w:lang w:bidi="mn-Mong-CN"/>
              </w:rPr>
              <w:t>X</w:t>
            </w:r>
            <w:r>
              <w:rPr>
                <w:bCs/>
                <w:sz w:val="24"/>
                <w:szCs w:val="32"/>
                <w:lang w:bidi="mn-Mong-CN"/>
              </w:rPr>
              <w:t>依据《第一次全国污染源普查工业污染源产排污系数手册 第十分册》确定。</w:t>
            </w:r>
          </w:p>
          <w:p>
            <w:pPr>
              <w:adjustRightInd w:val="0"/>
              <w:snapToGrid w:val="0"/>
              <w:spacing w:line="360" w:lineRule="auto"/>
              <w:ind w:firstLine="480" w:firstLineChars="200"/>
              <w:rPr>
                <w:bCs/>
                <w:sz w:val="24"/>
                <w:szCs w:val="32"/>
                <w:lang w:bidi="mn-Mong-CN"/>
              </w:rPr>
            </w:pPr>
            <w:r>
              <w:rPr>
                <w:bCs/>
                <w:sz w:val="24"/>
                <w:szCs w:val="32"/>
                <w:lang w:bidi="mn-Mong-CN"/>
              </w:rPr>
              <w:t>颗粒物排放量为1.225t/a，SO</w:t>
            </w:r>
            <w:r>
              <w:rPr>
                <w:bCs/>
                <w:sz w:val="24"/>
                <w:szCs w:val="32"/>
                <w:vertAlign w:val="subscript"/>
                <w:lang w:bidi="mn-Mong-CN"/>
              </w:rPr>
              <w:t>2</w:t>
            </w:r>
            <w:r>
              <w:rPr>
                <w:bCs/>
                <w:sz w:val="24"/>
                <w:szCs w:val="32"/>
                <w:lang w:bidi="mn-Mong-CN"/>
              </w:rPr>
              <w:t>排放量为5t/a，NO</w:t>
            </w:r>
            <w:r>
              <w:rPr>
                <w:bCs/>
                <w:sz w:val="24"/>
                <w:szCs w:val="32"/>
                <w:vertAlign w:val="subscript"/>
                <w:lang w:bidi="mn-Mong-CN"/>
              </w:rPr>
              <w:t>X</w:t>
            </w:r>
            <w:r>
              <w:rPr>
                <w:bCs/>
                <w:sz w:val="24"/>
                <w:szCs w:val="32"/>
                <w:lang w:bidi="mn-Mong-CN"/>
              </w:rPr>
              <w:t>排放量为2.352t/a。</w:t>
            </w:r>
          </w:p>
          <w:p>
            <w:pPr>
              <w:adjustRightInd w:val="0"/>
              <w:snapToGrid w:val="0"/>
              <w:spacing w:line="360" w:lineRule="auto"/>
              <w:ind w:firstLine="480" w:firstLineChars="200"/>
              <w:rPr>
                <w:bCs/>
                <w:sz w:val="24"/>
                <w:szCs w:val="32"/>
                <w:lang w:bidi="mn-Mong-CN"/>
              </w:rPr>
            </w:pPr>
            <w:r>
              <w:rPr>
                <w:bCs/>
                <w:sz w:val="24"/>
                <w:szCs w:val="32"/>
                <w:lang w:bidi="mn-Mong-CN"/>
              </w:rPr>
              <w:t>（2）现有废水产生及排放情况</w:t>
            </w:r>
          </w:p>
          <w:p>
            <w:pPr>
              <w:adjustRightInd w:val="0"/>
              <w:snapToGrid w:val="0"/>
              <w:spacing w:line="360" w:lineRule="auto"/>
              <w:ind w:firstLine="480" w:firstLineChars="200"/>
              <w:rPr>
                <w:bCs/>
                <w:sz w:val="24"/>
                <w:szCs w:val="32"/>
                <w:lang w:bidi="mn-Mong-CN"/>
              </w:rPr>
            </w:pPr>
            <w:r>
              <w:rPr>
                <w:bCs/>
                <w:sz w:val="24"/>
                <w:szCs w:val="32"/>
                <w:lang w:bidi="mn-Mong-CN"/>
              </w:rPr>
              <w:t>本项目废水主要为职工洗漱等产生的生活污水，产生量约0.15m</w:t>
            </w:r>
            <w:r>
              <w:rPr>
                <w:bCs/>
                <w:sz w:val="24"/>
                <w:szCs w:val="32"/>
                <w:vertAlign w:val="superscript"/>
                <w:lang w:bidi="mn-Mong-CN"/>
              </w:rPr>
              <w:t>3</w:t>
            </w:r>
            <w:r>
              <w:rPr>
                <w:bCs/>
                <w:sz w:val="24"/>
                <w:szCs w:val="32"/>
                <w:lang w:bidi="mn-Mong-CN"/>
              </w:rPr>
              <w:t>/d，污水产生量较小，且水质较为简单，洒水抑尘。</w:t>
            </w:r>
          </w:p>
          <w:p>
            <w:pPr>
              <w:adjustRightInd w:val="0"/>
              <w:snapToGrid w:val="0"/>
              <w:spacing w:line="360" w:lineRule="auto"/>
              <w:ind w:firstLine="480" w:firstLineChars="200"/>
              <w:rPr>
                <w:bCs/>
                <w:sz w:val="24"/>
                <w:szCs w:val="32"/>
                <w:lang w:bidi="mn-Mong-CN"/>
              </w:rPr>
            </w:pPr>
            <w:r>
              <w:rPr>
                <w:bCs/>
                <w:sz w:val="24"/>
                <w:szCs w:val="32"/>
                <w:lang w:bidi="mn-Mong-CN"/>
              </w:rPr>
              <w:t>现有工程生产用水主要用于乳化液的配置，生产用水大都在机加工时随乳化液散发空气中和随加工工件带走，设备保养时产生量少量废乳化液，废乳化液以危废计，生产过程不产生废水。</w:t>
            </w:r>
          </w:p>
          <w:p>
            <w:pPr>
              <w:adjustRightInd w:val="0"/>
              <w:snapToGrid w:val="0"/>
              <w:spacing w:line="360" w:lineRule="auto"/>
              <w:ind w:firstLine="480" w:firstLineChars="200"/>
              <w:rPr>
                <w:bCs/>
                <w:sz w:val="24"/>
                <w:szCs w:val="32"/>
                <w:lang w:bidi="mn-Mong-CN"/>
              </w:rPr>
            </w:pPr>
            <w:r>
              <w:rPr>
                <w:bCs/>
                <w:sz w:val="24"/>
                <w:szCs w:val="32"/>
                <w:lang w:bidi="mn-Mong-CN"/>
              </w:rPr>
              <w:t>（3）现有噪声产生及排放情况</w:t>
            </w:r>
          </w:p>
          <w:p>
            <w:pPr>
              <w:adjustRightInd w:val="0"/>
              <w:snapToGrid w:val="0"/>
              <w:spacing w:line="360" w:lineRule="auto"/>
              <w:ind w:firstLine="480" w:firstLineChars="200"/>
              <w:rPr>
                <w:bCs/>
                <w:sz w:val="24"/>
                <w:szCs w:val="32"/>
                <w:lang w:bidi="mn-Mong-CN"/>
              </w:rPr>
            </w:pPr>
            <w:r>
              <w:rPr>
                <w:bCs/>
                <w:sz w:val="24"/>
                <w:szCs w:val="32"/>
                <w:lang w:bidi="mn-Mong-CN"/>
              </w:rPr>
              <w:t>现有工程主要噪声源为锻锤、车床等主要产噪设备。</w:t>
            </w:r>
          </w:p>
          <w:p>
            <w:pPr>
              <w:adjustRightInd w:val="0"/>
              <w:snapToGrid w:val="0"/>
              <w:spacing w:line="360" w:lineRule="auto"/>
              <w:jc w:val="center"/>
              <w:rPr>
                <w:b/>
                <w:szCs w:val="21"/>
              </w:rPr>
            </w:pPr>
            <w:r>
              <w:rPr>
                <w:b/>
                <w:szCs w:val="21"/>
              </w:rPr>
              <w:t>表</w:t>
            </w:r>
            <w:r>
              <w:rPr>
                <w:rFonts w:hint="eastAsia"/>
                <w:b/>
                <w:szCs w:val="21"/>
              </w:rPr>
              <w:t>16</w:t>
            </w:r>
            <w:r>
              <w:rPr>
                <w:b/>
                <w:szCs w:val="21"/>
              </w:rPr>
              <w:t xml:space="preserve">  </w:t>
            </w:r>
            <w:r>
              <w:rPr>
                <w:rFonts w:hint="eastAsia"/>
                <w:b/>
                <w:szCs w:val="21"/>
              </w:rPr>
              <w:t>产噪设备</w:t>
            </w:r>
            <w:r>
              <w:rPr>
                <w:b/>
                <w:szCs w:val="21"/>
              </w:rPr>
              <w:t>控制表</w:t>
            </w:r>
          </w:p>
          <w:tbl>
            <w:tblPr>
              <w:tblStyle w:val="1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99"/>
              <w:gridCol w:w="1600"/>
              <w:gridCol w:w="1572"/>
              <w:gridCol w:w="39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9" w:type="dxa"/>
                  <w:vAlign w:val="center"/>
                </w:tcPr>
                <w:p>
                  <w:pPr>
                    <w:jc w:val="center"/>
                    <w:rPr>
                      <w:szCs w:val="21"/>
                    </w:rPr>
                  </w:pPr>
                  <w:r>
                    <w:rPr>
                      <w:szCs w:val="21"/>
                    </w:rPr>
                    <w:t>序号</w:t>
                  </w:r>
                </w:p>
              </w:tc>
              <w:tc>
                <w:tcPr>
                  <w:tcW w:w="1600" w:type="dxa"/>
                  <w:vAlign w:val="center"/>
                </w:tcPr>
                <w:p>
                  <w:pPr>
                    <w:jc w:val="center"/>
                    <w:rPr>
                      <w:szCs w:val="21"/>
                    </w:rPr>
                  </w:pPr>
                  <w:r>
                    <w:rPr>
                      <w:szCs w:val="21"/>
                    </w:rPr>
                    <w:t>噪声源</w:t>
                  </w:r>
                </w:p>
              </w:tc>
              <w:tc>
                <w:tcPr>
                  <w:tcW w:w="1572" w:type="dxa"/>
                  <w:vAlign w:val="center"/>
                </w:tcPr>
                <w:p>
                  <w:pPr>
                    <w:jc w:val="center"/>
                    <w:rPr>
                      <w:szCs w:val="21"/>
                    </w:rPr>
                  </w:pPr>
                  <w:r>
                    <w:rPr>
                      <w:szCs w:val="21"/>
                    </w:rPr>
                    <w:t>安装位置</w:t>
                  </w:r>
                </w:p>
              </w:tc>
              <w:tc>
                <w:tcPr>
                  <w:tcW w:w="3971" w:type="dxa"/>
                  <w:vAlign w:val="center"/>
                </w:tcPr>
                <w:p>
                  <w:pPr>
                    <w:jc w:val="center"/>
                    <w:rPr>
                      <w:szCs w:val="21"/>
                    </w:rPr>
                  </w:pPr>
                  <w:r>
                    <w:rPr>
                      <w:szCs w:val="21"/>
                    </w:rPr>
                    <w:t>治理措施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9" w:type="dxa"/>
                  <w:vAlign w:val="center"/>
                </w:tcPr>
                <w:p>
                  <w:pPr>
                    <w:jc w:val="center"/>
                    <w:rPr>
                      <w:szCs w:val="21"/>
                    </w:rPr>
                  </w:pPr>
                  <w:r>
                    <w:rPr>
                      <w:szCs w:val="21"/>
                    </w:rPr>
                    <w:t>1</w:t>
                  </w:r>
                </w:p>
              </w:tc>
              <w:tc>
                <w:tcPr>
                  <w:tcW w:w="1600" w:type="dxa"/>
                  <w:vAlign w:val="center"/>
                </w:tcPr>
                <w:p>
                  <w:pPr>
                    <w:jc w:val="center"/>
                    <w:rPr>
                      <w:szCs w:val="21"/>
                    </w:rPr>
                  </w:pPr>
                  <w:r>
                    <w:rPr>
                      <w:szCs w:val="21"/>
                    </w:rPr>
                    <w:t>锻锤</w:t>
                  </w:r>
                </w:p>
              </w:tc>
              <w:tc>
                <w:tcPr>
                  <w:tcW w:w="1572" w:type="dxa"/>
                  <w:vAlign w:val="center"/>
                </w:tcPr>
                <w:p>
                  <w:pPr>
                    <w:jc w:val="center"/>
                    <w:rPr>
                      <w:szCs w:val="21"/>
                    </w:rPr>
                  </w:pPr>
                  <w:r>
                    <w:rPr>
                      <w:szCs w:val="21"/>
                    </w:rPr>
                    <w:t>露天</w:t>
                  </w:r>
                </w:p>
              </w:tc>
              <w:tc>
                <w:tcPr>
                  <w:tcW w:w="3971" w:type="dxa"/>
                  <w:vAlign w:val="center"/>
                </w:tcPr>
                <w:p>
                  <w:pPr>
                    <w:jc w:val="center"/>
                    <w:rPr>
                      <w:szCs w:val="21"/>
                    </w:rPr>
                  </w:pPr>
                  <w:r>
                    <w:rPr>
                      <w:rFonts w:hint="eastAsia"/>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9" w:type="dxa"/>
                  <w:vAlign w:val="center"/>
                </w:tcPr>
                <w:p>
                  <w:pPr>
                    <w:jc w:val="center"/>
                    <w:rPr>
                      <w:szCs w:val="21"/>
                    </w:rPr>
                  </w:pPr>
                  <w:r>
                    <w:rPr>
                      <w:rFonts w:hint="eastAsia"/>
                      <w:szCs w:val="21"/>
                    </w:rPr>
                    <w:t>2</w:t>
                  </w:r>
                </w:p>
              </w:tc>
              <w:tc>
                <w:tcPr>
                  <w:tcW w:w="1600" w:type="dxa"/>
                  <w:vAlign w:val="center"/>
                </w:tcPr>
                <w:p>
                  <w:pPr>
                    <w:jc w:val="center"/>
                    <w:rPr>
                      <w:szCs w:val="21"/>
                    </w:rPr>
                  </w:pPr>
                  <w:r>
                    <w:rPr>
                      <w:szCs w:val="21"/>
                    </w:rPr>
                    <w:t>机加工设备</w:t>
                  </w:r>
                </w:p>
              </w:tc>
              <w:tc>
                <w:tcPr>
                  <w:tcW w:w="1572" w:type="dxa"/>
                  <w:vAlign w:val="center"/>
                </w:tcPr>
                <w:p>
                  <w:pPr>
                    <w:jc w:val="center"/>
                    <w:rPr>
                      <w:szCs w:val="21"/>
                    </w:rPr>
                  </w:pPr>
                  <w:r>
                    <w:rPr>
                      <w:szCs w:val="21"/>
                    </w:rPr>
                    <w:t>机加工车间</w:t>
                  </w:r>
                </w:p>
              </w:tc>
              <w:tc>
                <w:tcPr>
                  <w:tcW w:w="3971" w:type="dxa"/>
                  <w:vMerge w:val="restart"/>
                  <w:vAlign w:val="center"/>
                </w:tcPr>
                <w:p>
                  <w:pPr>
                    <w:jc w:val="center"/>
                    <w:rPr>
                      <w:szCs w:val="21"/>
                    </w:rPr>
                  </w:pPr>
                  <w:r>
                    <w:rPr>
                      <w:szCs w:val="21"/>
                    </w:rPr>
                    <w:t>选用低噪声设备，置于车间</w:t>
                  </w:r>
                  <w:r>
                    <w:rPr>
                      <w:rFonts w:hint="eastAsia"/>
                      <w:szCs w:val="21"/>
                    </w:rPr>
                    <w:t>，</w:t>
                  </w:r>
                  <w:r>
                    <w:rPr>
                      <w:szCs w:val="21"/>
                    </w:rPr>
                    <w:t>隔声门窗，基础减振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9" w:type="dxa"/>
                  <w:vAlign w:val="center"/>
                </w:tcPr>
                <w:p>
                  <w:pPr>
                    <w:jc w:val="center"/>
                    <w:rPr>
                      <w:szCs w:val="21"/>
                    </w:rPr>
                  </w:pPr>
                  <w:r>
                    <w:rPr>
                      <w:rFonts w:hint="eastAsia"/>
                      <w:szCs w:val="21"/>
                    </w:rPr>
                    <w:t>3</w:t>
                  </w:r>
                </w:p>
              </w:tc>
              <w:tc>
                <w:tcPr>
                  <w:tcW w:w="1600" w:type="dxa"/>
                  <w:vAlign w:val="center"/>
                </w:tcPr>
                <w:p>
                  <w:pPr>
                    <w:jc w:val="center"/>
                    <w:rPr>
                      <w:szCs w:val="21"/>
                    </w:rPr>
                  </w:pPr>
                  <w:r>
                    <w:rPr>
                      <w:szCs w:val="21"/>
                    </w:rPr>
                    <w:t>包装设备</w:t>
                  </w:r>
                </w:p>
              </w:tc>
              <w:tc>
                <w:tcPr>
                  <w:tcW w:w="1572" w:type="dxa"/>
                  <w:vAlign w:val="center"/>
                </w:tcPr>
                <w:p>
                  <w:pPr>
                    <w:jc w:val="center"/>
                    <w:rPr>
                      <w:szCs w:val="21"/>
                    </w:rPr>
                  </w:pPr>
                  <w:r>
                    <w:rPr>
                      <w:szCs w:val="21"/>
                    </w:rPr>
                    <w:t>包装车间</w:t>
                  </w:r>
                </w:p>
              </w:tc>
              <w:tc>
                <w:tcPr>
                  <w:tcW w:w="3971" w:type="dxa"/>
                  <w:vMerge w:val="continue"/>
                  <w:vAlign w:val="center"/>
                </w:tcPr>
                <w:p>
                  <w:pPr>
                    <w:jc w:val="center"/>
                    <w:rPr>
                      <w:szCs w:val="21"/>
                    </w:rPr>
                  </w:pPr>
                </w:p>
              </w:tc>
            </w:tr>
          </w:tbl>
          <w:p>
            <w:pPr>
              <w:adjustRightInd w:val="0"/>
              <w:snapToGrid w:val="0"/>
              <w:spacing w:line="360" w:lineRule="auto"/>
              <w:ind w:firstLine="480" w:firstLineChars="200"/>
              <w:rPr>
                <w:bCs/>
                <w:sz w:val="24"/>
                <w:szCs w:val="32"/>
                <w:lang w:bidi="mn-Mong-CN"/>
              </w:rPr>
            </w:pPr>
            <w:r>
              <w:rPr>
                <w:bCs/>
                <w:sz w:val="24"/>
                <w:szCs w:val="32"/>
                <w:lang w:bidi="mn-Mong-CN"/>
              </w:rPr>
              <w:t>（4）现有固废产生及排放情况</w:t>
            </w:r>
          </w:p>
          <w:p>
            <w:pPr>
              <w:adjustRightInd w:val="0"/>
              <w:snapToGrid w:val="0"/>
              <w:spacing w:line="360" w:lineRule="auto"/>
              <w:ind w:firstLine="480" w:firstLineChars="200"/>
              <w:rPr>
                <w:snapToGrid w:val="0"/>
              </w:rPr>
            </w:pPr>
            <w:r>
              <w:rPr>
                <w:rFonts w:hint="eastAsia" w:ascii="宋体" w:hAnsi="宋体" w:cs="宋体"/>
                <w:bCs/>
                <w:sz w:val="24"/>
                <w:szCs w:val="32"/>
                <w:lang w:bidi="mn-Mong-CN"/>
              </w:rPr>
              <w:t>①</w:t>
            </w:r>
            <w:r>
              <w:rPr>
                <w:bCs/>
                <w:sz w:val="24"/>
                <w:szCs w:val="32"/>
                <w:lang w:bidi="mn-Mong-CN"/>
              </w:rPr>
              <w:t>生活垃圾</w:t>
            </w:r>
          </w:p>
          <w:p>
            <w:pPr>
              <w:adjustRightInd w:val="0"/>
              <w:snapToGrid w:val="0"/>
              <w:spacing w:line="360" w:lineRule="auto"/>
              <w:ind w:firstLine="480" w:firstLineChars="200"/>
              <w:rPr>
                <w:bCs/>
                <w:sz w:val="24"/>
                <w:szCs w:val="32"/>
                <w:lang w:bidi="mn-Mong-CN"/>
              </w:rPr>
            </w:pPr>
            <w:r>
              <w:rPr>
                <w:bCs/>
                <w:sz w:val="24"/>
                <w:szCs w:val="32"/>
                <w:lang w:bidi="mn-Mong-CN"/>
              </w:rPr>
              <w:t>依据《定襄县鑫康机械加工厂年产500吨/年法兰盘生产线技术改造项目建设项目环境影响报告表》现有工程生活垃圾产生量为2.7t/a</w:t>
            </w:r>
            <w:r>
              <w:rPr>
                <w:rFonts w:hint="eastAsia"/>
                <w:bCs/>
                <w:sz w:val="24"/>
                <w:szCs w:val="32"/>
                <w:lang w:bidi="mn-Mong-CN"/>
              </w:rPr>
              <w:t>，</w:t>
            </w:r>
            <w:r>
              <w:rPr>
                <w:bCs/>
                <w:sz w:val="24"/>
                <w:szCs w:val="32"/>
                <w:lang w:bidi="mn-Mong-CN"/>
              </w:rPr>
              <w:t>厂内设置垃圾桶</w:t>
            </w:r>
            <w:r>
              <w:rPr>
                <w:rFonts w:hint="eastAsia"/>
                <w:bCs/>
                <w:sz w:val="24"/>
                <w:szCs w:val="32"/>
                <w:lang w:bidi="mn-Mong-CN"/>
              </w:rPr>
              <w:t>，交</w:t>
            </w:r>
            <w:r>
              <w:rPr>
                <w:bCs/>
                <w:sz w:val="24"/>
                <w:szCs w:val="32"/>
                <w:lang w:bidi="mn-Mong-CN"/>
              </w:rPr>
              <w:t>由环卫部门统一处理</w:t>
            </w:r>
            <w:r>
              <w:rPr>
                <w:rFonts w:hint="eastAsia"/>
                <w:bCs/>
                <w:sz w:val="24"/>
                <w:szCs w:val="32"/>
                <w:lang w:bidi="mn-Mong-CN"/>
              </w:rPr>
              <w:t>。</w:t>
            </w:r>
          </w:p>
          <w:p>
            <w:pPr>
              <w:adjustRightInd w:val="0"/>
              <w:snapToGrid w:val="0"/>
              <w:spacing w:line="360" w:lineRule="auto"/>
              <w:ind w:firstLine="480" w:firstLineChars="200"/>
              <w:rPr>
                <w:bCs/>
                <w:sz w:val="24"/>
                <w:szCs w:val="32"/>
                <w:lang w:bidi="mn-Mong-CN"/>
              </w:rPr>
            </w:pPr>
            <w:r>
              <w:rPr>
                <w:rFonts w:hint="eastAsia" w:ascii="宋体" w:hAnsi="宋体" w:cs="宋体"/>
                <w:bCs/>
                <w:sz w:val="24"/>
                <w:szCs w:val="32"/>
                <w:lang w:bidi="mn-Mong-CN"/>
              </w:rPr>
              <w:t>②</w:t>
            </w:r>
            <w:r>
              <w:rPr>
                <w:bCs/>
                <w:sz w:val="24"/>
                <w:szCs w:val="32"/>
                <w:lang w:bidi="mn-Mong-CN"/>
              </w:rPr>
              <w:t>废塑料、废木板</w:t>
            </w:r>
          </w:p>
          <w:p>
            <w:pPr>
              <w:adjustRightInd w:val="0"/>
              <w:snapToGrid w:val="0"/>
              <w:spacing w:line="360" w:lineRule="auto"/>
              <w:ind w:firstLine="480" w:firstLineChars="200"/>
              <w:rPr>
                <w:bCs/>
                <w:sz w:val="24"/>
                <w:szCs w:val="32"/>
                <w:lang w:bidi="mn-Mong-CN"/>
              </w:rPr>
            </w:pPr>
            <w:r>
              <w:rPr>
                <w:bCs/>
                <w:sz w:val="24"/>
                <w:szCs w:val="32"/>
                <w:lang w:bidi="mn-Mong-CN"/>
              </w:rPr>
              <w:t>包装会产生废塑料、废木板，产生量为0.5t/a</w:t>
            </w:r>
            <w:r>
              <w:rPr>
                <w:rFonts w:hint="eastAsia"/>
                <w:bCs/>
                <w:sz w:val="24"/>
                <w:szCs w:val="32"/>
                <w:lang w:bidi="mn-Mong-CN"/>
              </w:rPr>
              <w:t>，收集后</w:t>
            </w:r>
            <w:r>
              <w:rPr>
                <w:bCs/>
                <w:sz w:val="24"/>
                <w:szCs w:val="32"/>
                <w:lang w:bidi="mn-Mong-CN"/>
              </w:rPr>
              <w:t>综合利用</w:t>
            </w:r>
            <w:r>
              <w:rPr>
                <w:rFonts w:hint="eastAsia"/>
                <w:bCs/>
                <w:sz w:val="24"/>
                <w:szCs w:val="32"/>
                <w:lang w:bidi="mn-Mong-CN"/>
              </w:rPr>
              <w:t>。</w:t>
            </w:r>
          </w:p>
          <w:p>
            <w:pPr>
              <w:adjustRightInd w:val="0"/>
              <w:snapToGrid w:val="0"/>
              <w:spacing w:line="360" w:lineRule="auto"/>
              <w:ind w:firstLine="480" w:firstLineChars="200"/>
              <w:rPr>
                <w:bCs/>
                <w:sz w:val="24"/>
                <w:szCs w:val="32"/>
                <w:lang w:bidi="mn-Mong-CN"/>
              </w:rPr>
            </w:pPr>
            <w:r>
              <w:rPr>
                <w:rFonts w:hint="eastAsia" w:ascii="宋体" w:hAnsi="宋体" w:cs="宋体"/>
                <w:bCs/>
                <w:sz w:val="24"/>
                <w:szCs w:val="32"/>
                <w:lang w:bidi="mn-Mong-CN"/>
              </w:rPr>
              <w:t>③</w:t>
            </w:r>
            <w:r>
              <w:rPr>
                <w:bCs/>
                <w:sz w:val="24"/>
                <w:szCs w:val="32"/>
                <w:lang w:bidi="mn-Mong-CN"/>
              </w:rPr>
              <w:t>边角料、废铁屑、氧化铁皮</w:t>
            </w:r>
          </w:p>
          <w:p>
            <w:pPr>
              <w:adjustRightInd w:val="0"/>
              <w:snapToGrid w:val="0"/>
              <w:spacing w:line="360" w:lineRule="auto"/>
              <w:ind w:firstLine="480" w:firstLineChars="200"/>
              <w:rPr>
                <w:bCs/>
                <w:sz w:val="24"/>
                <w:szCs w:val="32"/>
                <w:lang w:bidi="mn-Mong-CN"/>
              </w:rPr>
            </w:pPr>
            <w:r>
              <w:rPr>
                <w:bCs/>
                <w:sz w:val="24"/>
                <w:szCs w:val="32"/>
                <w:lang w:bidi="mn-Mong-CN"/>
              </w:rPr>
              <w:t>生产过程中加热和锻压产生氧化铁皮约46.875t/a，废铁屑及边角料产生量为203.125t/a</w:t>
            </w:r>
            <w:r>
              <w:rPr>
                <w:rFonts w:hint="eastAsia"/>
                <w:bCs/>
                <w:sz w:val="24"/>
                <w:szCs w:val="32"/>
                <w:lang w:bidi="mn-Mong-CN"/>
              </w:rPr>
              <w:t>，堆放于30m</w:t>
            </w:r>
            <w:r>
              <w:rPr>
                <w:rFonts w:hint="eastAsia"/>
                <w:bCs/>
                <w:sz w:val="24"/>
                <w:szCs w:val="32"/>
                <w:vertAlign w:val="superscript"/>
                <w:lang w:bidi="mn-Mong-CN"/>
              </w:rPr>
              <w:t>2</w:t>
            </w:r>
            <w:r>
              <w:rPr>
                <w:rFonts w:hint="eastAsia"/>
                <w:bCs/>
                <w:sz w:val="24"/>
                <w:szCs w:val="32"/>
                <w:lang w:bidi="mn-Mong-CN"/>
              </w:rPr>
              <w:t>露天固废暂存区域，收集后外售。</w:t>
            </w:r>
          </w:p>
          <w:p>
            <w:pPr>
              <w:adjustRightInd w:val="0"/>
              <w:snapToGrid w:val="0"/>
              <w:spacing w:line="360" w:lineRule="auto"/>
              <w:ind w:firstLine="480" w:firstLineChars="200"/>
              <w:rPr>
                <w:bCs/>
                <w:sz w:val="24"/>
                <w:szCs w:val="32"/>
                <w:lang w:bidi="mn-Mong-CN"/>
              </w:rPr>
            </w:pPr>
            <w:r>
              <w:rPr>
                <w:rFonts w:hint="eastAsia" w:ascii="宋体" w:hAnsi="宋体" w:cs="宋体"/>
                <w:bCs/>
                <w:sz w:val="24"/>
                <w:szCs w:val="32"/>
                <w:lang w:bidi="mn-Mong-CN"/>
              </w:rPr>
              <w:t>④</w:t>
            </w:r>
            <w:r>
              <w:rPr>
                <w:bCs/>
                <w:sz w:val="24"/>
                <w:szCs w:val="32"/>
                <w:lang w:bidi="mn-Mong-CN"/>
              </w:rPr>
              <w:t>危险废物</w:t>
            </w:r>
          </w:p>
          <w:p>
            <w:pPr>
              <w:adjustRightInd w:val="0"/>
              <w:snapToGrid w:val="0"/>
              <w:spacing w:line="360" w:lineRule="auto"/>
              <w:ind w:firstLine="480" w:firstLineChars="200"/>
              <w:rPr>
                <w:bCs/>
                <w:sz w:val="24"/>
                <w:szCs w:val="32"/>
                <w:lang w:bidi="mn-Mong-CN"/>
              </w:rPr>
            </w:pPr>
            <w:r>
              <w:rPr>
                <w:bCs/>
                <w:sz w:val="24"/>
                <w:szCs w:val="32"/>
                <w:lang w:bidi="mn-Mong-CN"/>
              </w:rPr>
              <w:t>废机油产生量为0.0</w:t>
            </w:r>
            <w:r>
              <w:rPr>
                <w:rFonts w:hint="eastAsia"/>
                <w:bCs/>
                <w:sz w:val="24"/>
                <w:szCs w:val="32"/>
                <w:lang w:bidi="mn-Mong-CN"/>
              </w:rPr>
              <w:t>5</w:t>
            </w:r>
            <w:r>
              <w:rPr>
                <w:bCs/>
                <w:sz w:val="24"/>
                <w:szCs w:val="32"/>
                <w:lang w:bidi="mn-Mong-CN"/>
              </w:rPr>
              <w:t>t/a，废乳化液产生量为0.01t/a</w:t>
            </w:r>
            <w:r>
              <w:rPr>
                <w:rFonts w:hint="eastAsia"/>
                <w:bCs/>
                <w:sz w:val="24"/>
                <w:szCs w:val="32"/>
                <w:lang w:bidi="mn-Mong-CN"/>
              </w:rPr>
              <w:t>，</w:t>
            </w:r>
            <w:r>
              <w:rPr>
                <w:bCs/>
                <w:sz w:val="24"/>
                <w:szCs w:val="32"/>
                <w:lang w:bidi="mn-Mong-CN"/>
              </w:rPr>
              <w:t>定期交由有资质单位处理。</w:t>
            </w:r>
          </w:p>
          <w:p>
            <w:pPr>
              <w:adjustRightInd w:val="0"/>
              <w:snapToGrid w:val="0"/>
              <w:spacing w:line="360" w:lineRule="auto"/>
              <w:ind w:firstLine="480" w:firstLineChars="200"/>
              <w:rPr>
                <w:bCs/>
                <w:sz w:val="24"/>
                <w:szCs w:val="32"/>
                <w:lang w:bidi="mn-Mong-CN"/>
              </w:rPr>
            </w:pPr>
            <w:r>
              <w:rPr>
                <w:rFonts w:hint="eastAsia" w:ascii="宋体" w:hAnsi="宋体" w:cs="宋体"/>
                <w:bCs/>
                <w:sz w:val="24"/>
                <w:szCs w:val="32"/>
                <w:lang w:bidi="mn-Mong-CN"/>
              </w:rPr>
              <w:t>⑤</w:t>
            </w:r>
            <w:r>
              <w:rPr>
                <w:bCs/>
                <w:sz w:val="24"/>
                <w:szCs w:val="32"/>
                <w:lang w:bidi="mn-Mong-CN"/>
              </w:rPr>
              <w:t>炉渣</w:t>
            </w:r>
          </w:p>
          <w:p>
            <w:pPr>
              <w:adjustRightInd w:val="0"/>
              <w:snapToGrid w:val="0"/>
              <w:spacing w:line="360" w:lineRule="auto"/>
              <w:ind w:firstLine="480" w:firstLineChars="200"/>
              <w:rPr>
                <w:bCs/>
                <w:sz w:val="24"/>
                <w:szCs w:val="32"/>
                <w:lang w:bidi="mn-Mong-CN"/>
              </w:rPr>
            </w:pPr>
            <w:r>
              <w:rPr>
                <w:bCs/>
                <w:sz w:val="24"/>
                <w:szCs w:val="32"/>
                <w:lang w:bidi="mn-Mong-CN"/>
              </w:rPr>
              <w:t>依据《定襄县鑫康机械加工厂年产500吨/年法兰盘生产线技术改造项目建设项目环境影响报告表》现有工程炉渣产生量为120t/a</w:t>
            </w:r>
            <w:r>
              <w:rPr>
                <w:rFonts w:hint="eastAsia"/>
                <w:bCs/>
                <w:sz w:val="24"/>
                <w:szCs w:val="32"/>
                <w:lang w:bidi="mn-Mong-CN"/>
              </w:rPr>
              <w:t>，</w:t>
            </w:r>
            <w:r>
              <w:rPr>
                <w:bCs/>
                <w:sz w:val="24"/>
                <w:szCs w:val="32"/>
                <w:lang w:bidi="mn-Mong-CN"/>
              </w:rPr>
              <w:t>作为铺路材料外售</w:t>
            </w:r>
            <w:r>
              <w:rPr>
                <w:rFonts w:hint="eastAsia"/>
                <w:bCs/>
                <w:sz w:val="24"/>
                <w:szCs w:val="32"/>
                <w:lang w:bidi="mn-Mong-CN"/>
              </w:rPr>
              <w:t>。</w:t>
            </w:r>
          </w:p>
          <w:p>
            <w:pPr>
              <w:adjustRightInd w:val="0"/>
              <w:snapToGrid w:val="0"/>
              <w:spacing w:line="360" w:lineRule="auto"/>
              <w:jc w:val="center"/>
              <w:rPr>
                <w:b/>
                <w:lang w:bidi="mn-Mong-CN"/>
              </w:rPr>
            </w:pPr>
            <w:r>
              <w:rPr>
                <w:b/>
                <w:lang w:bidi="mn-Mong-CN"/>
              </w:rPr>
              <w:t>表</w:t>
            </w:r>
            <w:r>
              <w:rPr>
                <w:rFonts w:hint="eastAsia"/>
                <w:b/>
                <w:lang w:bidi="mn-Mong-CN"/>
              </w:rPr>
              <w:t>17</w:t>
            </w:r>
            <w:r>
              <w:rPr>
                <w:b/>
                <w:lang w:bidi="mn-Mong-CN"/>
              </w:rPr>
              <w:t xml:space="preserve">  现有工程</w:t>
            </w:r>
            <w:r>
              <w:rPr>
                <w:rFonts w:hint="eastAsia"/>
                <w:b/>
                <w:lang w:bidi="mn-Mong-CN"/>
              </w:rPr>
              <w:t>固体废物</w:t>
            </w:r>
            <w:r>
              <w:rPr>
                <w:b/>
                <w:lang w:bidi="mn-Mong-CN"/>
              </w:rPr>
              <w:t>处置表</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7"/>
              <w:gridCol w:w="2835"/>
              <w:gridCol w:w="1418"/>
              <w:gridCol w:w="32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adjustRightInd w:val="0"/>
                    <w:snapToGrid w:val="0"/>
                    <w:jc w:val="center"/>
                    <w:rPr>
                      <w:bCs/>
                      <w:lang w:bidi="mn-Mong-CN"/>
                    </w:rPr>
                  </w:pPr>
                  <w:r>
                    <w:rPr>
                      <w:bCs/>
                      <w:lang w:bidi="mn-Mong-CN"/>
                    </w:rPr>
                    <w:t>序号</w:t>
                  </w:r>
                </w:p>
              </w:tc>
              <w:tc>
                <w:tcPr>
                  <w:tcW w:w="2835" w:type="dxa"/>
                  <w:vAlign w:val="center"/>
                </w:tcPr>
                <w:p>
                  <w:pPr>
                    <w:adjustRightInd w:val="0"/>
                    <w:snapToGrid w:val="0"/>
                    <w:jc w:val="center"/>
                    <w:rPr>
                      <w:bCs/>
                      <w:lang w:bidi="mn-Mong-CN"/>
                    </w:rPr>
                  </w:pPr>
                  <w:r>
                    <w:rPr>
                      <w:rFonts w:hint="eastAsia"/>
                      <w:bCs/>
                      <w:lang w:bidi="mn-Mong-CN"/>
                    </w:rPr>
                    <w:t>固体废物</w:t>
                  </w:r>
                </w:p>
              </w:tc>
              <w:tc>
                <w:tcPr>
                  <w:tcW w:w="1418" w:type="dxa"/>
                  <w:vAlign w:val="center"/>
                </w:tcPr>
                <w:p>
                  <w:pPr>
                    <w:adjustRightInd w:val="0"/>
                    <w:snapToGrid w:val="0"/>
                    <w:jc w:val="center"/>
                    <w:rPr>
                      <w:bCs/>
                      <w:lang w:bidi="mn-Mong-CN"/>
                    </w:rPr>
                  </w:pPr>
                  <w:r>
                    <w:rPr>
                      <w:rFonts w:hint="eastAsia"/>
                      <w:bCs/>
                      <w:lang w:bidi="mn-Mong-CN"/>
                    </w:rPr>
                    <w:t>产生量</w:t>
                  </w:r>
                </w:p>
              </w:tc>
              <w:tc>
                <w:tcPr>
                  <w:tcW w:w="3262" w:type="dxa"/>
                  <w:vAlign w:val="center"/>
                </w:tcPr>
                <w:p>
                  <w:pPr>
                    <w:adjustRightInd w:val="0"/>
                    <w:snapToGrid w:val="0"/>
                    <w:jc w:val="center"/>
                    <w:rPr>
                      <w:bCs/>
                      <w:lang w:bidi="mn-Mong-CN"/>
                    </w:rPr>
                  </w:pPr>
                  <w:r>
                    <w:rPr>
                      <w:rFonts w:hint="eastAsia"/>
                      <w:bCs/>
                      <w:lang w:bidi="mn-Mong-CN"/>
                    </w:rPr>
                    <w:t>处置方法及其去向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adjustRightInd w:val="0"/>
                    <w:snapToGrid w:val="0"/>
                    <w:jc w:val="center"/>
                    <w:rPr>
                      <w:bCs/>
                      <w:lang w:bidi="mn-Mong-CN"/>
                    </w:rPr>
                  </w:pPr>
                  <w:r>
                    <w:rPr>
                      <w:rFonts w:hint="eastAsia"/>
                      <w:bCs/>
                      <w:lang w:bidi="mn-Mong-CN"/>
                    </w:rPr>
                    <w:t>1</w:t>
                  </w:r>
                </w:p>
              </w:tc>
              <w:tc>
                <w:tcPr>
                  <w:tcW w:w="2835" w:type="dxa"/>
                  <w:vAlign w:val="center"/>
                </w:tcPr>
                <w:p>
                  <w:pPr>
                    <w:adjustRightInd w:val="0"/>
                    <w:snapToGrid w:val="0"/>
                    <w:jc w:val="center"/>
                    <w:rPr>
                      <w:bCs/>
                      <w:lang w:bidi="mn-Mong-CN"/>
                    </w:rPr>
                  </w:pPr>
                  <w:r>
                    <w:rPr>
                      <w:bCs/>
                      <w:lang w:bidi="mn-Mong-CN"/>
                    </w:rPr>
                    <w:t>生活垃圾</w:t>
                  </w:r>
                </w:p>
              </w:tc>
              <w:tc>
                <w:tcPr>
                  <w:tcW w:w="1418" w:type="dxa"/>
                  <w:vAlign w:val="center"/>
                </w:tcPr>
                <w:p>
                  <w:pPr>
                    <w:adjustRightInd w:val="0"/>
                    <w:snapToGrid w:val="0"/>
                    <w:jc w:val="center"/>
                    <w:rPr>
                      <w:bCs/>
                      <w:lang w:bidi="mn-Mong-CN"/>
                    </w:rPr>
                  </w:pPr>
                  <w:r>
                    <w:rPr>
                      <w:rFonts w:hint="eastAsia"/>
                      <w:bCs/>
                      <w:lang w:bidi="mn-Mong-CN"/>
                    </w:rPr>
                    <w:t>2.7t/a</w:t>
                  </w:r>
                </w:p>
              </w:tc>
              <w:tc>
                <w:tcPr>
                  <w:tcW w:w="3262" w:type="dxa"/>
                  <w:vAlign w:val="center"/>
                </w:tcPr>
                <w:p>
                  <w:pPr>
                    <w:adjustRightInd w:val="0"/>
                    <w:snapToGrid w:val="0"/>
                    <w:jc w:val="center"/>
                    <w:rPr>
                      <w:bCs/>
                      <w:lang w:bidi="mn-Mong-CN"/>
                    </w:rPr>
                  </w:pPr>
                  <w:r>
                    <w:rPr>
                      <w:bCs/>
                      <w:lang w:bidi="mn-Mong-CN"/>
                    </w:rPr>
                    <w:t>集中收集</w:t>
                  </w:r>
                  <w:r>
                    <w:rPr>
                      <w:rFonts w:hint="eastAsia"/>
                      <w:bCs/>
                      <w:lang w:bidi="mn-Mong-CN"/>
                    </w:rPr>
                    <w:t>，</w:t>
                  </w:r>
                  <w:r>
                    <w:rPr>
                      <w:bCs/>
                      <w:lang w:bidi="mn-Mong-CN"/>
                    </w:rPr>
                    <w:t>交由环卫部门统一处理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adjustRightInd w:val="0"/>
                    <w:snapToGrid w:val="0"/>
                    <w:jc w:val="center"/>
                    <w:rPr>
                      <w:bCs/>
                      <w:lang w:bidi="mn-Mong-CN"/>
                    </w:rPr>
                  </w:pPr>
                  <w:r>
                    <w:rPr>
                      <w:rFonts w:hint="eastAsia"/>
                      <w:bCs/>
                      <w:lang w:bidi="mn-Mong-CN"/>
                    </w:rPr>
                    <w:t>2</w:t>
                  </w:r>
                </w:p>
              </w:tc>
              <w:tc>
                <w:tcPr>
                  <w:tcW w:w="2835" w:type="dxa"/>
                  <w:vAlign w:val="center"/>
                </w:tcPr>
                <w:p>
                  <w:pPr>
                    <w:adjustRightInd w:val="0"/>
                    <w:snapToGrid w:val="0"/>
                    <w:jc w:val="center"/>
                    <w:rPr>
                      <w:bCs/>
                      <w:lang w:bidi="mn-Mong-CN"/>
                    </w:rPr>
                  </w:pPr>
                  <w:r>
                    <w:rPr>
                      <w:bCs/>
                      <w:lang w:bidi="mn-Mong-CN"/>
                    </w:rPr>
                    <w:t>废塑料</w:t>
                  </w:r>
                  <w:r>
                    <w:rPr>
                      <w:rFonts w:hint="eastAsia"/>
                      <w:bCs/>
                      <w:lang w:bidi="mn-Mong-CN"/>
                    </w:rPr>
                    <w:t>、</w:t>
                  </w:r>
                  <w:r>
                    <w:rPr>
                      <w:bCs/>
                      <w:lang w:bidi="mn-Mong-CN"/>
                    </w:rPr>
                    <w:t>废木板</w:t>
                  </w:r>
                </w:p>
              </w:tc>
              <w:tc>
                <w:tcPr>
                  <w:tcW w:w="1418" w:type="dxa"/>
                  <w:vAlign w:val="center"/>
                </w:tcPr>
                <w:p>
                  <w:pPr>
                    <w:adjustRightInd w:val="0"/>
                    <w:snapToGrid w:val="0"/>
                    <w:jc w:val="center"/>
                    <w:rPr>
                      <w:bCs/>
                      <w:lang w:bidi="mn-Mong-CN"/>
                    </w:rPr>
                  </w:pPr>
                  <w:r>
                    <w:rPr>
                      <w:rFonts w:hint="eastAsia"/>
                      <w:bCs/>
                      <w:lang w:bidi="mn-Mong-CN"/>
                    </w:rPr>
                    <w:t>0.5t/a</w:t>
                  </w:r>
                </w:p>
              </w:tc>
              <w:tc>
                <w:tcPr>
                  <w:tcW w:w="3262" w:type="dxa"/>
                  <w:vAlign w:val="center"/>
                </w:tcPr>
                <w:p>
                  <w:pPr>
                    <w:adjustRightInd w:val="0"/>
                    <w:snapToGrid w:val="0"/>
                    <w:jc w:val="center"/>
                    <w:rPr>
                      <w:bCs/>
                      <w:lang w:bidi="mn-Mong-CN"/>
                    </w:rPr>
                  </w:pPr>
                  <w:r>
                    <w:rPr>
                      <w:bCs/>
                      <w:lang w:bidi="mn-Mong-CN"/>
                    </w:rPr>
                    <w:t>收集后综合利用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adjustRightInd w:val="0"/>
                    <w:snapToGrid w:val="0"/>
                    <w:jc w:val="center"/>
                    <w:rPr>
                      <w:bCs/>
                      <w:lang w:bidi="mn-Mong-CN"/>
                    </w:rPr>
                  </w:pPr>
                  <w:r>
                    <w:rPr>
                      <w:rFonts w:hint="eastAsia"/>
                      <w:bCs/>
                      <w:lang w:bidi="mn-Mong-CN"/>
                    </w:rPr>
                    <w:t>3</w:t>
                  </w:r>
                </w:p>
              </w:tc>
              <w:tc>
                <w:tcPr>
                  <w:tcW w:w="2835" w:type="dxa"/>
                  <w:vAlign w:val="center"/>
                </w:tcPr>
                <w:p>
                  <w:pPr>
                    <w:adjustRightInd w:val="0"/>
                    <w:snapToGrid w:val="0"/>
                    <w:jc w:val="center"/>
                    <w:rPr>
                      <w:bCs/>
                      <w:lang w:bidi="mn-Mong-CN"/>
                    </w:rPr>
                  </w:pPr>
                  <w:r>
                    <w:rPr>
                      <w:bCs/>
                      <w:lang w:bidi="mn-Mong-CN"/>
                    </w:rPr>
                    <w:t>边角料、废铁屑、氧化铁皮</w:t>
                  </w:r>
                </w:p>
              </w:tc>
              <w:tc>
                <w:tcPr>
                  <w:tcW w:w="1418" w:type="dxa"/>
                  <w:vAlign w:val="center"/>
                </w:tcPr>
                <w:p>
                  <w:pPr>
                    <w:adjustRightInd w:val="0"/>
                    <w:snapToGrid w:val="0"/>
                    <w:jc w:val="center"/>
                    <w:rPr>
                      <w:bCs/>
                      <w:lang w:bidi="mn-Mong-CN"/>
                    </w:rPr>
                  </w:pPr>
                  <w:r>
                    <w:rPr>
                      <w:rFonts w:hint="eastAsia"/>
                      <w:bCs/>
                      <w:lang w:bidi="mn-Mong-CN"/>
                    </w:rPr>
                    <w:t>250t/a</w:t>
                  </w:r>
                </w:p>
              </w:tc>
              <w:tc>
                <w:tcPr>
                  <w:tcW w:w="3262" w:type="dxa"/>
                  <w:vAlign w:val="center"/>
                </w:tcPr>
                <w:p>
                  <w:pPr>
                    <w:adjustRightInd w:val="0"/>
                    <w:snapToGrid w:val="0"/>
                    <w:jc w:val="center"/>
                    <w:rPr>
                      <w:bCs/>
                      <w:lang w:bidi="mn-Mong-CN"/>
                    </w:rPr>
                  </w:pPr>
                  <w:r>
                    <w:rPr>
                      <w:bCs/>
                      <w:lang w:bidi="mn-Mong-CN"/>
                    </w:rPr>
                    <w:t>堆放于固废暂存区域</w:t>
                  </w:r>
                  <w:r>
                    <w:rPr>
                      <w:rFonts w:hint="eastAsia"/>
                      <w:bCs/>
                      <w:lang w:bidi="mn-Mong-CN"/>
                    </w:rPr>
                    <w:t>，</w:t>
                  </w:r>
                  <w:r>
                    <w:rPr>
                      <w:bCs/>
                      <w:lang w:bidi="mn-Mong-CN"/>
                    </w:rPr>
                    <w:t>收集后外售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adjustRightInd w:val="0"/>
                    <w:snapToGrid w:val="0"/>
                    <w:jc w:val="center"/>
                    <w:rPr>
                      <w:bCs/>
                      <w:lang w:bidi="mn-Mong-CN"/>
                    </w:rPr>
                  </w:pPr>
                  <w:r>
                    <w:rPr>
                      <w:rFonts w:hint="eastAsia"/>
                      <w:bCs/>
                      <w:lang w:bidi="mn-Mong-CN"/>
                    </w:rPr>
                    <w:t>4</w:t>
                  </w:r>
                </w:p>
              </w:tc>
              <w:tc>
                <w:tcPr>
                  <w:tcW w:w="2835" w:type="dxa"/>
                  <w:vAlign w:val="center"/>
                </w:tcPr>
                <w:p>
                  <w:pPr>
                    <w:adjustRightInd w:val="0"/>
                    <w:snapToGrid w:val="0"/>
                    <w:jc w:val="center"/>
                    <w:rPr>
                      <w:bCs/>
                      <w:lang w:bidi="mn-Mong-CN"/>
                    </w:rPr>
                  </w:pPr>
                  <w:r>
                    <w:rPr>
                      <w:bCs/>
                      <w:lang w:bidi="mn-Mong-CN"/>
                    </w:rPr>
                    <w:t>危险废物</w:t>
                  </w:r>
                </w:p>
              </w:tc>
              <w:tc>
                <w:tcPr>
                  <w:tcW w:w="1418" w:type="dxa"/>
                  <w:vAlign w:val="center"/>
                </w:tcPr>
                <w:p>
                  <w:pPr>
                    <w:adjustRightInd w:val="0"/>
                    <w:snapToGrid w:val="0"/>
                    <w:jc w:val="center"/>
                    <w:rPr>
                      <w:bCs/>
                      <w:lang w:bidi="mn-Mong-CN"/>
                    </w:rPr>
                  </w:pPr>
                  <w:r>
                    <w:rPr>
                      <w:rFonts w:hint="eastAsia"/>
                      <w:bCs/>
                      <w:lang w:bidi="mn-Mong-CN"/>
                    </w:rPr>
                    <w:t>0.02t/a</w:t>
                  </w:r>
                </w:p>
              </w:tc>
              <w:tc>
                <w:tcPr>
                  <w:tcW w:w="3262" w:type="dxa"/>
                  <w:vAlign w:val="center"/>
                </w:tcPr>
                <w:p>
                  <w:pPr>
                    <w:adjustRightInd w:val="0"/>
                    <w:snapToGrid w:val="0"/>
                    <w:jc w:val="center"/>
                    <w:rPr>
                      <w:bCs/>
                      <w:lang w:bidi="mn-Mong-CN"/>
                    </w:rPr>
                  </w:pPr>
                  <w:r>
                    <w:rPr>
                      <w:bCs/>
                      <w:lang w:bidi="mn-Mong-CN"/>
                    </w:rPr>
                    <w:t>交由有资质单位处理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adjustRightInd w:val="0"/>
                    <w:snapToGrid w:val="0"/>
                    <w:jc w:val="center"/>
                    <w:rPr>
                      <w:bCs/>
                      <w:lang w:bidi="mn-Mong-CN"/>
                    </w:rPr>
                  </w:pPr>
                  <w:r>
                    <w:rPr>
                      <w:rFonts w:hint="eastAsia"/>
                      <w:bCs/>
                      <w:lang w:bidi="mn-Mong-CN"/>
                    </w:rPr>
                    <w:t>5</w:t>
                  </w:r>
                </w:p>
              </w:tc>
              <w:tc>
                <w:tcPr>
                  <w:tcW w:w="2835" w:type="dxa"/>
                  <w:vAlign w:val="center"/>
                </w:tcPr>
                <w:p>
                  <w:pPr>
                    <w:adjustRightInd w:val="0"/>
                    <w:snapToGrid w:val="0"/>
                    <w:jc w:val="center"/>
                    <w:rPr>
                      <w:bCs/>
                      <w:lang w:bidi="mn-Mong-CN"/>
                    </w:rPr>
                  </w:pPr>
                  <w:r>
                    <w:rPr>
                      <w:bCs/>
                      <w:lang w:bidi="mn-Mong-CN"/>
                    </w:rPr>
                    <w:t>炉渣</w:t>
                  </w:r>
                </w:p>
              </w:tc>
              <w:tc>
                <w:tcPr>
                  <w:tcW w:w="1418" w:type="dxa"/>
                  <w:vAlign w:val="center"/>
                </w:tcPr>
                <w:p>
                  <w:pPr>
                    <w:adjustRightInd w:val="0"/>
                    <w:snapToGrid w:val="0"/>
                    <w:jc w:val="center"/>
                    <w:rPr>
                      <w:bCs/>
                      <w:lang w:bidi="mn-Mong-CN"/>
                    </w:rPr>
                  </w:pPr>
                  <w:r>
                    <w:rPr>
                      <w:rFonts w:hint="eastAsia"/>
                      <w:bCs/>
                      <w:lang w:bidi="mn-Mong-CN"/>
                    </w:rPr>
                    <w:t>120t/a</w:t>
                  </w:r>
                </w:p>
              </w:tc>
              <w:tc>
                <w:tcPr>
                  <w:tcW w:w="3262" w:type="dxa"/>
                  <w:vAlign w:val="center"/>
                </w:tcPr>
                <w:p>
                  <w:pPr>
                    <w:adjustRightInd w:val="0"/>
                    <w:snapToGrid w:val="0"/>
                    <w:jc w:val="center"/>
                    <w:rPr>
                      <w:bCs/>
                      <w:lang w:bidi="mn-Mong-CN"/>
                    </w:rPr>
                  </w:pPr>
                  <w:r>
                    <w:rPr>
                      <w:bCs/>
                      <w:lang w:bidi="mn-Mong-CN"/>
                    </w:rPr>
                    <w:t>铺路材料外售</w:t>
                  </w:r>
                </w:p>
              </w:tc>
            </w:tr>
          </w:tbl>
          <w:p>
            <w:pPr>
              <w:adjustRightInd w:val="0"/>
              <w:snapToGrid w:val="0"/>
              <w:spacing w:line="360" w:lineRule="auto"/>
              <w:jc w:val="center"/>
              <w:rPr>
                <w:b/>
                <w:lang w:bidi="mn-Mong-CN"/>
              </w:rPr>
            </w:pPr>
            <w:r>
              <w:rPr>
                <w:b/>
                <w:lang w:bidi="mn-Mong-CN"/>
              </w:rPr>
              <w:t>表</w:t>
            </w:r>
            <w:r>
              <w:rPr>
                <w:rFonts w:hint="eastAsia"/>
                <w:b/>
                <w:lang w:bidi="mn-Mong-CN"/>
              </w:rPr>
              <w:t>18</w:t>
            </w:r>
            <w:r>
              <w:rPr>
                <w:b/>
                <w:lang w:bidi="mn-Mong-CN"/>
              </w:rPr>
              <w:t xml:space="preserve">  现有工程污染物排放量</w:t>
            </w:r>
          </w:p>
          <w:tbl>
            <w:tblPr>
              <w:tblStyle w:val="13"/>
              <w:tblW w:w="825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2"/>
              <w:gridCol w:w="1429"/>
              <w:gridCol w:w="2835"/>
              <w:gridCol w:w="31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291" w:type="dxa"/>
                  <w:gridSpan w:val="2"/>
                  <w:vAlign w:val="center"/>
                </w:tcPr>
                <w:p>
                  <w:pPr>
                    <w:adjustRightInd w:val="0"/>
                    <w:snapToGrid w:val="0"/>
                    <w:jc w:val="center"/>
                    <w:rPr>
                      <w:bCs/>
                      <w:lang w:bidi="mn-Mong-CN"/>
                    </w:rPr>
                  </w:pPr>
                  <w:r>
                    <w:rPr>
                      <w:bCs/>
                      <w:lang w:bidi="mn-Mong-CN"/>
                    </w:rPr>
                    <w:t>污染源</w:t>
                  </w:r>
                </w:p>
              </w:tc>
              <w:tc>
                <w:tcPr>
                  <w:tcW w:w="2835" w:type="dxa"/>
                  <w:vAlign w:val="center"/>
                </w:tcPr>
                <w:p>
                  <w:pPr>
                    <w:adjustRightInd w:val="0"/>
                    <w:snapToGrid w:val="0"/>
                    <w:jc w:val="center"/>
                    <w:rPr>
                      <w:bCs/>
                      <w:lang w:bidi="mn-Mong-CN"/>
                    </w:rPr>
                  </w:pPr>
                  <w:r>
                    <w:rPr>
                      <w:bCs/>
                      <w:lang w:bidi="mn-Mong-CN"/>
                    </w:rPr>
                    <w:t>污染物</w:t>
                  </w:r>
                </w:p>
              </w:tc>
              <w:tc>
                <w:tcPr>
                  <w:tcW w:w="3131" w:type="dxa"/>
                  <w:vAlign w:val="center"/>
                </w:tcPr>
                <w:p>
                  <w:pPr>
                    <w:adjustRightInd w:val="0"/>
                    <w:snapToGrid w:val="0"/>
                    <w:jc w:val="center"/>
                    <w:rPr>
                      <w:bCs/>
                      <w:lang w:bidi="mn-Mong-CN"/>
                    </w:rPr>
                  </w:pPr>
                  <w:r>
                    <w:rPr>
                      <w:bCs/>
                      <w:lang w:bidi="mn-Mong-CN"/>
                    </w:rPr>
                    <w:t>现有工程排放量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restart"/>
                  <w:vAlign w:val="center"/>
                </w:tcPr>
                <w:p>
                  <w:pPr>
                    <w:adjustRightInd w:val="0"/>
                    <w:snapToGrid w:val="0"/>
                    <w:jc w:val="center"/>
                    <w:rPr>
                      <w:bCs/>
                      <w:lang w:bidi="mn-Mong-CN"/>
                    </w:rPr>
                  </w:pPr>
                  <w:r>
                    <w:rPr>
                      <w:bCs/>
                      <w:lang w:bidi="mn-Mong-CN"/>
                    </w:rPr>
                    <w:t>废气</w:t>
                  </w:r>
                </w:p>
              </w:tc>
              <w:tc>
                <w:tcPr>
                  <w:tcW w:w="1429" w:type="dxa"/>
                  <w:vMerge w:val="restart"/>
                  <w:vAlign w:val="center"/>
                </w:tcPr>
                <w:p>
                  <w:pPr>
                    <w:adjustRightInd w:val="0"/>
                    <w:snapToGrid w:val="0"/>
                    <w:jc w:val="center"/>
                    <w:rPr>
                      <w:bCs/>
                      <w:lang w:bidi="mn-Mong-CN"/>
                    </w:rPr>
                  </w:pPr>
                  <w:r>
                    <w:rPr>
                      <w:bCs/>
                      <w:lang w:bidi="mn-Mong-CN"/>
                    </w:rPr>
                    <w:t>燃煤加热炉</w:t>
                  </w:r>
                </w:p>
              </w:tc>
              <w:tc>
                <w:tcPr>
                  <w:tcW w:w="2835" w:type="dxa"/>
                  <w:vAlign w:val="center"/>
                </w:tcPr>
                <w:p>
                  <w:pPr>
                    <w:adjustRightInd w:val="0"/>
                    <w:snapToGrid w:val="0"/>
                    <w:jc w:val="center"/>
                    <w:rPr>
                      <w:bCs/>
                      <w:lang w:bidi="mn-Mong-CN"/>
                    </w:rPr>
                  </w:pPr>
                  <w:r>
                    <w:rPr>
                      <w:bCs/>
                      <w:lang w:bidi="mn-Mong-CN"/>
                    </w:rPr>
                    <w:t>烟尘</w:t>
                  </w:r>
                </w:p>
              </w:tc>
              <w:tc>
                <w:tcPr>
                  <w:tcW w:w="3131" w:type="dxa"/>
                  <w:vAlign w:val="center"/>
                </w:tcPr>
                <w:p>
                  <w:pPr>
                    <w:adjustRightInd w:val="0"/>
                    <w:snapToGrid w:val="0"/>
                    <w:jc w:val="center"/>
                    <w:rPr>
                      <w:bCs/>
                      <w:lang w:bidi="mn-Mong-CN"/>
                    </w:rPr>
                  </w:pPr>
                  <w:r>
                    <w:rPr>
                      <w:bCs/>
                      <w:lang w:bidi="mn-Mong-CN"/>
                    </w:rPr>
                    <w:t>1.225t/a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continue"/>
                  <w:vAlign w:val="center"/>
                </w:tcPr>
                <w:p>
                  <w:pPr>
                    <w:adjustRightInd w:val="0"/>
                    <w:snapToGrid w:val="0"/>
                    <w:jc w:val="center"/>
                    <w:rPr>
                      <w:bCs/>
                      <w:lang w:bidi="mn-Mong-CN"/>
                    </w:rPr>
                  </w:pPr>
                </w:p>
              </w:tc>
              <w:tc>
                <w:tcPr>
                  <w:tcW w:w="1429" w:type="dxa"/>
                  <w:vMerge w:val="continue"/>
                  <w:vAlign w:val="center"/>
                </w:tcPr>
                <w:p>
                  <w:pPr>
                    <w:adjustRightInd w:val="0"/>
                    <w:snapToGrid w:val="0"/>
                    <w:jc w:val="center"/>
                    <w:rPr>
                      <w:bCs/>
                      <w:lang w:bidi="mn-Mong-CN"/>
                    </w:rPr>
                  </w:pPr>
                </w:p>
              </w:tc>
              <w:tc>
                <w:tcPr>
                  <w:tcW w:w="2835" w:type="dxa"/>
                  <w:vAlign w:val="center"/>
                </w:tcPr>
                <w:p>
                  <w:pPr>
                    <w:adjustRightInd w:val="0"/>
                    <w:snapToGrid w:val="0"/>
                    <w:jc w:val="center"/>
                    <w:rPr>
                      <w:bCs/>
                      <w:lang w:bidi="mn-Mong-CN"/>
                    </w:rPr>
                  </w:pPr>
                  <w:r>
                    <w:rPr>
                      <w:bCs/>
                      <w:lang w:bidi="mn-Mong-CN"/>
                    </w:rPr>
                    <w:t>SO</w:t>
                  </w:r>
                  <w:r>
                    <w:rPr>
                      <w:bCs/>
                      <w:vertAlign w:val="subscript"/>
                      <w:lang w:bidi="mn-Mong-CN"/>
                    </w:rPr>
                    <w:t>2</w:t>
                  </w:r>
                </w:p>
              </w:tc>
              <w:tc>
                <w:tcPr>
                  <w:tcW w:w="3131" w:type="dxa"/>
                  <w:vAlign w:val="center"/>
                </w:tcPr>
                <w:p>
                  <w:pPr>
                    <w:adjustRightInd w:val="0"/>
                    <w:snapToGrid w:val="0"/>
                    <w:jc w:val="center"/>
                    <w:rPr>
                      <w:bCs/>
                      <w:lang w:bidi="mn-Mong-CN"/>
                    </w:rPr>
                  </w:pPr>
                  <w:r>
                    <w:rPr>
                      <w:bCs/>
                      <w:lang w:bidi="mn-Mong-CN"/>
                    </w:rPr>
                    <w:t>5t/a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continue"/>
                  <w:vAlign w:val="center"/>
                </w:tcPr>
                <w:p>
                  <w:pPr>
                    <w:adjustRightInd w:val="0"/>
                    <w:snapToGrid w:val="0"/>
                    <w:jc w:val="center"/>
                    <w:rPr>
                      <w:bCs/>
                      <w:lang w:bidi="mn-Mong-CN"/>
                    </w:rPr>
                  </w:pPr>
                </w:p>
              </w:tc>
              <w:tc>
                <w:tcPr>
                  <w:tcW w:w="1429" w:type="dxa"/>
                  <w:vMerge w:val="continue"/>
                  <w:vAlign w:val="center"/>
                </w:tcPr>
                <w:p>
                  <w:pPr>
                    <w:adjustRightInd w:val="0"/>
                    <w:snapToGrid w:val="0"/>
                    <w:jc w:val="center"/>
                    <w:rPr>
                      <w:bCs/>
                      <w:lang w:bidi="mn-Mong-CN"/>
                    </w:rPr>
                  </w:pPr>
                </w:p>
              </w:tc>
              <w:tc>
                <w:tcPr>
                  <w:tcW w:w="2835" w:type="dxa"/>
                  <w:vAlign w:val="center"/>
                </w:tcPr>
                <w:p>
                  <w:pPr>
                    <w:adjustRightInd w:val="0"/>
                    <w:snapToGrid w:val="0"/>
                    <w:jc w:val="center"/>
                    <w:rPr>
                      <w:bCs/>
                      <w:vertAlign w:val="subscript"/>
                      <w:lang w:bidi="mn-Mong-CN"/>
                    </w:rPr>
                  </w:pPr>
                  <w:r>
                    <w:rPr>
                      <w:bCs/>
                      <w:lang w:bidi="mn-Mong-CN"/>
                    </w:rPr>
                    <w:t>NO</w:t>
                  </w:r>
                  <w:r>
                    <w:rPr>
                      <w:bCs/>
                      <w:vertAlign w:val="subscript"/>
                      <w:lang w:bidi="mn-Mong-CN"/>
                    </w:rPr>
                    <w:t>X</w:t>
                  </w:r>
                </w:p>
              </w:tc>
              <w:tc>
                <w:tcPr>
                  <w:tcW w:w="3131" w:type="dxa"/>
                  <w:vAlign w:val="center"/>
                </w:tcPr>
                <w:p>
                  <w:pPr>
                    <w:adjustRightInd w:val="0"/>
                    <w:snapToGrid w:val="0"/>
                    <w:jc w:val="center"/>
                    <w:rPr>
                      <w:bCs/>
                      <w:lang w:bidi="mn-Mong-CN"/>
                    </w:rPr>
                  </w:pPr>
                  <w:r>
                    <w:rPr>
                      <w:bCs/>
                      <w:lang w:bidi="mn-Mong-CN"/>
                    </w:rPr>
                    <w:t>2.352t/a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Align w:val="center"/>
                </w:tcPr>
                <w:p>
                  <w:pPr>
                    <w:adjustRightInd w:val="0"/>
                    <w:snapToGrid w:val="0"/>
                    <w:jc w:val="center"/>
                    <w:rPr>
                      <w:bCs/>
                      <w:lang w:bidi="mn-Mong-CN"/>
                    </w:rPr>
                  </w:pPr>
                  <w:r>
                    <w:rPr>
                      <w:bCs/>
                      <w:lang w:bidi="mn-Mong-CN"/>
                    </w:rPr>
                    <w:t>废水</w:t>
                  </w:r>
                </w:p>
              </w:tc>
              <w:tc>
                <w:tcPr>
                  <w:tcW w:w="1429" w:type="dxa"/>
                  <w:vAlign w:val="center"/>
                </w:tcPr>
                <w:p>
                  <w:pPr>
                    <w:adjustRightInd w:val="0"/>
                    <w:snapToGrid w:val="0"/>
                    <w:jc w:val="center"/>
                    <w:rPr>
                      <w:bCs/>
                      <w:lang w:bidi="mn-Mong-CN"/>
                    </w:rPr>
                  </w:pPr>
                  <w:r>
                    <w:rPr>
                      <w:bCs/>
                      <w:lang w:bidi="mn-Mong-CN"/>
                    </w:rPr>
                    <w:t>生活污水</w:t>
                  </w:r>
                </w:p>
              </w:tc>
              <w:tc>
                <w:tcPr>
                  <w:tcW w:w="2835" w:type="dxa"/>
                  <w:vAlign w:val="center"/>
                </w:tcPr>
                <w:p>
                  <w:pPr>
                    <w:adjustRightInd w:val="0"/>
                    <w:snapToGrid w:val="0"/>
                    <w:jc w:val="center"/>
                    <w:rPr>
                      <w:bCs/>
                      <w:lang w:bidi="mn-Mong-CN"/>
                    </w:rPr>
                  </w:pPr>
                  <w:r>
                    <w:rPr>
                      <w:bCs/>
                      <w:lang w:bidi="mn-Mong-CN"/>
                    </w:rPr>
                    <w:t>COD、</w:t>
                  </w:r>
                  <w:r>
                    <w:rPr>
                      <w:rFonts w:hint="eastAsia"/>
                      <w:bCs/>
                      <w:lang w:bidi="mn-Mong-CN"/>
                    </w:rPr>
                    <w:t>SS、</w:t>
                  </w:r>
                  <w:r>
                    <w:rPr>
                      <w:bCs/>
                      <w:lang w:bidi="mn-Mong-CN"/>
                    </w:rPr>
                    <w:t>氨氮等</w:t>
                  </w:r>
                </w:p>
              </w:tc>
              <w:tc>
                <w:tcPr>
                  <w:tcW w:w="3131" w:type="dxa"/>
                  <w:vAlign w:val="center"/>
                </w:tcPr>
                <w:p>
                  <w:pPr>
                    <w:adjustRightInd w:val="0"/>
                    <w:snapToGrid w:val="0"/>
                    <w:jc w:val="center"/>
                    <w:rPr>
                      <w:bCs/>
                      <w:lang w:bidi="mn-Mong-CN"/>
                    </w:rPr>
                  </w:pPr>
                  <w:r>
                    <w:rPr>
                      <w:bCs/>
                      <w:lang w:bidi="mn-Mong-CN"/>
                    </w:rPr>
                    <w:t>45m</w:t>
                  </w:r>
                  <w:r>
                    <w:rPr>
                      <w:bCs/>
                      <w:vertAlign w:val="superscript"/>
                      <w:lang w:bidi="mn-Mong-CN"/>
                    </w:rPr>
                    <w:t>3</w:t>
                  </w:r>
                  <w:r>
                    <w:rPr>
                      <w:bCs/>
                      <w:lang w:bidi="mn-Mong-CN"/>
                    </w:rPr>
                    <w: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restart"/>
                  <w:vAlign w:val="center"/>
                </w:tcPr>
                <w:p>
                  <w:pPr>
                    <w:adjustRightInd w:val="0"/>
                    <w:snapToGrid w:val="0"/>
                    <w:jc w:val="center"/>
                    <w:rPr>
                      <w:bCs/>
                      <w:lang w:bidi="mn-Mong-CN"/>
                    </w:rPr>
                  </w:pPr>
                  <w:r>
                    <w:rPr>
                      <w:bCs/>
                      <w:lang w:bidi="mn-Mong-CN"/>
                    </w:rPr>
                    <w:t>固废</w:t>
                  </w:r>
                </w:p>
              </w:tc>
              <w:tc>
                <w:tcPr>
                  <w:tcW w:w="1429" w:type="dxa"/>
                  <w:vAlign w:val="center"/>
                </w:tcPr>
                <w:p>
                  <w:pPr>
                    <w:adjustRightInd w:val="0"/>
                    <w:snapToGrid w:val="0"/>
                    <w:jc w:val="center"/>
                    <w:rPr>
                      <w:bCs/>
                      <w:lang w:bidi="mn-Mong-CN"/>
                    </w:rPr>
                  </w:pPr>
                  <w:r>
                    <w:rPr>
                      <w:bCs/>
                      <w:lang w:bidi="mn-Mong-CN"/>
                    </w:rPr>
                    <w:t>成品包装</w:t>
                  </w:r>
                </w:p>
              </w:tc>
              <w:tc>
                <w:tcPr>
                  <w:tcW w:w="2835" w:type="dxa"/>
                  <w:vAlign w:val="center"/>
                </w:tcPr>
                <w:p>
                  <w:pPr>
                    <w:adjustRightInd w:val="0"/>
                    <w:snapToGrid w:val="0"/>
                    <w:jc w:val="center"/>
                    <w:rPr>
                      <w:bCs/>
                      <w:lang w:bidi="mn-Mong-CN"/>
                    </w:rPr>
                  </w:pPr>
                  <w:r>
                    <w:rPr>
                      <w:bCs/>
                      <w:lang w:bidi="mn-Mong-CN"/>
                    </w:rPr>
                    <w:t>废塑料、废木板</w:t>
                  </w:r>
                </w:p>
              </w:tc>
              <w:tc>
                <w:tcPr>
                  <w:tcW w:w="3131" w:type="dxa"/>
                  <w:vAlign w:val="center"/>
                </w:tcPr>
                <w:p>
                  <w:pPr>
                    <w:adjustRightInd w:val="0"/>
                    <w:snapToGrid w:val="0"/>
                    <w:jc w:val="center"/>
                    <w:rPr>
                      <w:bCs/>
                      <w:lang w:bidi="mn-Mong-CN"/>
                    </w:rPr>
                  </w:pPr>
                  <w:r>
                    <w:rPr>
                      <w:bCs/>
                      <w:lang w:bidi="mn-Mong-CN"/>
                    </w:rPr>
                    <w:t>0.5t/a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continue"/>
                  <w:vAlign w:val="center"/>
                </w:tcPr>
                <w:p>
                  <w:pPr>
                    <w:adjustRightInd w:val="0"/>
                    <w:snapToGrid w:val="0"/>
                    <w:jc w:val="center"/>
                    <w:rPr>
                      <w:bCs/>
                      <w:lang w:bidi="mn-Mong-CN"/>
                    </w:rPr>
                  </w:pPr>
                </w:p>
              </w:tc>
              <w:tc>
                <w:tcPr>
                  <w:tcW w:w="1429" w:type="dxa"/>
                  <w:vMerge w:val="restart"/>
                  <w:vAlign w:val="center"/>
                </w:tcPr>
                <w:p>
                  <w:pPr>
                    <w:adjustRightInd w:val="0"/>
                    <w:snapToGrid w:val="0"/>
                    <w:jc w:val="center"/>
                    <w:rPr>
                      <w:bCs/>
                      <w:lang w:bidi="mn-Mong-CN"/>
                    </w:rPr>
                  </w:pPr>
                  <w:r>
                    <w:rPr>
                      <w:bCs/>
                      <w:lang w:bidi="mn-Mong-CN"/>
                    </w:rPr>
                    <w:t>机加工</w:t>
                  </w:r>
                </w:p>
              </w:tc>
              <w:tc>
                <w:tcPr>
                  <w:tcW w:w="2835" w:type="dxa"/>
                  <w:vAlign w:val="center"/>
                </w:tcPr>
                <w:p>
                  <w:pPr>
                    <w:adjustRightInd w:val="0"/>
                    <w:snapToGrid w:val="0"/>
                    <w:jc w:val="center"/>
                    <w:rPr>
                      <w:bCs/>
                      <w:lang w:bidi="mn-Mong-CN"/>
                    </w:rPr>
                  </w:pPr>
                  <w:r>
                    <w:rPr>
                      <w:bCs/>
                      <w:lang w:bidi="mn-Mong-CN"/>
                    </w:rPr>
                    <w:t>边角料、废铁屑、氧化铁皮</w:t>
                  </w:r>
                </w:p>
              </w:tc>
              <w:tc>
                <w:tcPr>
                  <w:tcW w:w="3131" w:type="dxa"/>
                  <w:vAlign w:val="center"/>
                </w:tcPr>
                <w:p>
                  <w:pPr>
                    <w:adjustRightInd w:val="0"/>
                    <w:snapToGrid w:val="0"/>
                    <w:jc w:val="center"/>
                    <w:rPr>
                      <w:bCs/>
                      <w:lang w:bidi="mn-Mong-CN"/>
                    </w:rPr>
                  </w:pPr>
                  <w:r>
                    <w:rPr>
                      <w:bCs/>
                      <w:lang w:bidi="mn-Mong-CN"/>
                    </w:rPr>
                    <w:t>250t/a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continue"/>
                  <w:vAlign w:val="center"/>
                </w:tcPr>
                <w:p>
                  <w:pPr>
                    <w:adjustRightInd w:val="0"/>
                    <w:snapToGrid w:val="0"/>
                    <w:jc w:val="center"/>
                    <w:rPr>
                      <w:bCs/>
                      <w:lang w:bidi="mn-Mong-CN"/>
                    </w:rPr>
                  </w:pPr>
                </w:p>
              </w:tc>
              <w:tc>
                <w:tcPr>
                  <w:tcW w:w="1429" w:type="dxa"/>
                  <w:vMerge w:val="continue"/>
                  <w:vAlign w:val="center"/>
                </w:tcPr>
                <w:p>
                  <w:pPr>
                    <w:adjustRightInd w:val="0"/>
                    <w:snapToGrid w:val="0"/>
                    <w:jc w:val="center"/>
                    <w:rPr>
                      <w:bCs/>
                      <w:lang w:bidi="mn-Mong-CN"/>
                    </w:rPr>
                  </w:pPr>
                </w:p>
              </w:tc>
              <w:tc>
                <w:tcPr>
                  <w:tcW w:w="2835" w:type="dxa"/>
                  <w:vAlign w:val="center"/>
                </w:tcPr>
                <w:p>
                  <w:pPr>
                    <w:adjustRightInd w:val="0"/>
                    <w:snapToGrid w:val="0"/>
                    <w:jc w:val="center"/>
                    <w:rPr>
                      <w:bCs/>
                      <w:lang w:bidi="mn-Mong-CN"/>
                    </w:rPr>
                  </w:pPr>
                  <w:r>
                    <w:rPr>
                      <w:bCs/>
                      <w:lang w:bidi="mn-Mong-CN"/>
                    </w:rPr>
                    <w:t>废机油</w:t>
                  </w:r>
                </w:p>
              </w:tc>
              <w:tc>
                <w:tcPr>
                  <w:tcW w:w="3131" w:type="dxa"/>
                  <w:vAlign w:val="center"/>
                </w:tcPr>
                <w:p>
                  <w:pPr>
                    <w:adjustRightInd w:val="0"/>
                    <w:snapToGrid w:val="0"/>
                    <w:jc w:val="center"/>
                    <w:rPr>
                      <w:bCs/>
                      <w:lang w:bidi="mn-Mong-CN"/>
                    </w:rPr>
                  </w:pPr>
                  <w:r>
                    <w:rPr>
                      <w:bCs/>
                      <w:lang w:bidi="mn-Mong-CN"/>
                    </w:rPr>
                    <w:t>0.01t/a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continue"/>
                  <w:vAlign w:val="center"/>
                </w:tcPr>
                <w:p>
                  <w:pPr>
                    <w:adjustRightInd w:val="0"/>
                    <w:snapToGrid w:val="0"/>
                    <w:jc w:val="center"/>
                    <w:rPr>
                      <w:bCs/>
                      <w:lang w:bidi="mn-Mong-CN"/>
                    </w:rPr>
                  </w:pPr>
                </w:p>
              </w:tc>
              <w:tc>
                <w:tcPr>
                  <w:tcW w:w="1429" w:type="dxa"/>
                  <w:vMerge w:val="continue"/>
                  <w:vAlign w:val="center"/>
                </w:tcPr>
                <w:p>
                  <w:pPr>
                    <w:adjustRightInd w:val="0"/>
                    <w:snapToGrid w:val="0"/>
                    <w:jc w:val="center"/>
                    <w:rPr>
                      <w:bCs/>
                      <w:lang w:bidi="mn-Mong-CN"/>
                    </w:rPr>
                  </w:pPr>
                </w:p>
              </w:tc>
              <w:tc>
                <w:tcPr>
                  <w:tcW w:w="2835" w:type="dxa"/>
                  <w:vAlign w:val="center"/>
                </w:tcPr>
                <w:p>
                  <w:pPr>
                    <w:adjustRightInd w:val="0"/>
                    <w:snapToGrid w:val="0"/>
                    <w:jc w:val="center"/>
                    <w:rPr>
                      <w:bCs/>
                      <w:lang w:bidi="mn-Mong-CN"/>
                    </w:rPr>
                  </w:pPr>
                  <w:r>
                    <w:rPr>
                      <w:bCs/>
                      <w:lang w:bidi="mn-Mong-CN"/>
                    </w:rPr>
                    <w:t>废乳化液</w:t>
                  </w:r>
                </w:p>
              </w:tc>
              <w:tc>
                <w:tcPr>
                  <w:tcW w:w="3131" w:type="dxa"/>
                  <w:vAlign w:val="center"/>
                </w:tcPr>
                <w:p>
                  <w:pPr>
                    <w:adjustRightInd w:val="0"/>
                    <w:snapToGrid w:val="0"/>
                    <w:jc w:val="center"/>
                    <w:rPr>
                      <w:bCs/>
                      <w:lang w:bidi="mn-Mong-CN"/>
                    </w:rPr>
                  </w:pPr>
                  <w:r>
                    <w:rPr>
                      <w:bCs/>
                      <w:lang w:bidi="mn-Mong-CN"/>
                    </w:rPr>
                    <w:t>0.01t/a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continue"/>
                  <w:vAlign w:val="center"/>
                </w:tcPr>
                <w:p>
                  <w:pPr>
                    <w:adjustRightInd w:val="0"/>
                    <w:snapToGrid w:val="0"/>
                    <w:jc w:val="center"/>
                    <w:rPr>
                      <w:bCs/>
                      <w:lang w:bidi="mn-Mong-CN"/>
                    </w:rPr>
                  </w:pPr>
                </w:p>
              </w:tc>
              <w:tc>
                <w:tcPr>
                  <w:tcW w:w="1429" w:type="dxa"/>
                  <w:vAlign w:val="center"/>
                </w:tcPr>
                <w:p>
                  <w:pPr>
                    <w:adjustRightInd w:val="0"/>
                    <w:snapToGrid w:val="0"/>
                    <w:jc w:val="center"/>
                    <w:rPr>
                      <w:bCs/>
                      <w:lang w:bidi="mn-Mong-CN"/>
                    </w:rPr>
                  </w:pPr>
                  <w:r>
                    <w:rPr>
                      <w:bCs/>
                      <w:lang w:bidi="mn-Mong-CN"/>
                    </w:rPr>
                    <w:t>职工生活</w:t>
                  </w:r>
                </w:p>
              </w:tc>
              <w:tc>
                <w:tcPr>
                  <w:tcW w:w="2835" w:type="dxa"/>
                  <w:vAlign w:val="center"/>
                </w:tcPr>
                <w:p>
                  <w:pPr>
                    <w:adjustRightInd w:val="0"/>
                    <w:snapToGrid w:val="0"/>
                    <w:jc w:val="center"/>
                    <w:rPr>
                      <w:bCs/>
                      <w:lang w:bidi="mn-Mong-CN"/>
                    </w:rPr>
                  </w:pPr>
                  <w:r>
                    <w:rPr>
                      <w:bCs/>
                      <w:lang w:bidi="mn-Mong-CN"/>
                    </w:rPr>
                    <w:t>生活垃圾</w:t>
                  </w:r>
                </w:p>
              </w:tc>
              <w:tc>
                <w:tcPr>
                  <w:tcW w:w="3131" w:type="dxa"/>
                  <w:vAlign w:val="center"/>
                </w:tcPr>
                <w:p>
                  <w:pPr>
                    <w:adjustRightInd w:val="0"/>
                    <w:snapToGrid w:val="0"/>
                    <w:jc w:val="center"/>
                    <w:rPr>
                      <w:bCs/>
                      <w:lang w:bidi="mn-Mong-CN"/>
                    </w:rPr>
                  </w:pPr>
                  <w:r>
                    <w:rPr>
                      <w:bCs/>
                      <w:lang w:bidi="mn-Mong-CN"/>
                    </w:rPr>
                    <w:t>2.7t/a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62" w:type="dxa"/>
                  <w:vMerge w:val="continue"/>
                  <w:vAlign w:val="center"/>
                </w:tcPr>
                <w:p>
                  <w:pPr>
                    <w:adjustRightInd w:val="0"/>
                    <w:snapToGrid w:val="0"/>
                    <w:jc w:val="center"/>
                    <w:rPr>
                      <w:bCs/>
                      <w:lang w:bidi="mn-Mong-CN"/>
                    </w:rPr>
                  </w:pPr>
                </w:p>
              </w:tc>
              <w:tc>
                <w:tcPr>
                  <w:tcW w:w="1429" w:type="dxa"/>
                  <w:vAlign w:val="center"/>
                </w:tcPr>
                <w:p>
                  <w:pPr>
                    <w:adjustRightInd w:val="0"/>
                    <w:snapToGrid w:val="0"/>
                    <w:jc w:val="center"/>
                    <w:rPr>
                      <w:bCs/>
                      <w:lang w:bidi="mn-Mong-CN"/>
                    </w:rPr>
                  </w:pPr>
                  <w:r>
                    <w:rPr>
                      <w:bCs/>
                      <w:lang w:bidi="mn-Mong-CN"/>
                    </w:rPr>
                    <w:t>加热炉</w:t>
                  </w:r>
                </w:p>
              </w:tc>
              <w:tc>
                <w:tcPr>
                  <w:tcW w:w="2835" w:type="dxa"/>
                  <w:vAlign w:val="center"/>
                </w:tcPr>
                <w:p>
                  <w:pPr>
                    <w:adjustRightInd w:val="0"/>
                    <w:snapToGrid w:val="0"/>
                    <w:jc w:val="center"/>
                    <w:rPr>
                      <w:bCs/>
                      <w:lang w:bidi="mn-Mong-CN"/>
                    </w:rPr>
                  </w:pPr>
                  <w:r>
                    <w:rPr>
                      <w:bCs/>
                      <w:lang w:bidi="mn-Mong-CN"/>
                    </w:rPr>
                    <w:t>炉渣</w:t>
                  </w:r>
                </w:p>
              </w:tc>
              <w:tc>
                <w:tcPr>
                  <w:tcW w:w="3131" w:type="dxa"/>
                  <w:vAlign w:val="center"/>
                </w:tcPr>
                <w:p>
                  <w:pPr>
                    <w:adjustRightInd w:val="0"/>
                    <w:snapToGrid w:val="0"/>
                    <w:jc w:val="center"/>
                    <w:rPr>
                      <w:bCs/>
                      <w:lang w:bidi="mn-Mong-CN"/>
                    </w:rPr>
                  </w:pPr>
                  <w:r>
                    <w:rPr>
                      <w:bCs/>
                      <w:lang w:bidi="mn-Mong-CN"/>
                    </w:rPr>
                    <w:t>120t/a</w:t>
                  </w:r>
                </w:p>
              </w:tc>
            </w:tr>
          </w:tbl>
          <w:p>
            <w:pPr>
              <w:adjustRightInd w:val="0"/>
              <w:snapToGrid w:val="0"/>
              <w:spacing w:line="360" w:lineRule="auto"/>
              <w:rPr>
                <w:b/>
                <w:sz w:val="24"/>
                <w:szCs w:val="30"/>
                <w:lang w:bidi="mn-Mong-CN"/>
              </w:rPr>
            </w:pPr>
            <w:r>
              <w:rPr>
                <w:b/>
                <w:sz w:val="24"/>
                <w:szCs w:val="30"/>
                <w:lang w:bidi="mn-Mong-CN"/>
              </w:rPr>
              <w:t>四、现有工程存在主要环境问题及整改措施</w:t>
            </w:r>
          </w:p>
          <w:p>
            <w:pPr>
              <w:adjustRightInd w:val="0"/>
              <w:snapToGrid w:val="0"/>
              <w:spacing w:line="360" w:lineRule="auto"/>
              <w:ind w:firstLine="480" w:firstLineChars="200"/>
              <w:rPr>
                <w:bCs/>
                <w:sz w:val="24"/>
                <w:szCs w:val="30"/>
                <w:lang w:bidi="mn-Mong-CN"/>
              </w:rPr>
            </w:pPr>
            <w:r>
              <w:rPr>
                <w:bCs/>
                <w:sz w:val="24"/>
                <w:szCs w:val="30"/>
                <w:lang w:bidi="mn-Mong-CN"/>
              </w:rPr>
              <w:t>结合现有工程环评、现场实际情况和《定襄县法兰锻造行业整改规范三十条》中的“环保规范要求”，本次扩建项目应完善以下“以新代老”措施，具体见下表。</w:t>
            </w:r>
          </w:p>
          <w:p>
            <w:pPr>
              <w:adjustRightInd w:val="0"/>
              <w:snapToGrid w:val="0"/>
              <w:spacing w:line="360" w:lineRule="auto"/>
              <w:jc w:val="center"/>
              <w:rPr>
                <w:b/>
                <w:lang w:bidi="mn-Mong-CN"/>
              </w:rPr>
            </w:pPr>
            <w:r>
              <w:rPr>
                <w:b/>
                <w:lang w:bidi="mn-Mong-CN"/>
              </w:rPr>
              <w:t>表</w:t>
            </w:r>
            <w:r>
              <w:rPr>
                <w:rFonts w:hint="eastAsia"/>
                <w:b/>
                <w:lang w:bidi="mn-Mong-CN"/>
              </w:rPr>
              <w:t>19</w:t>
            </w:r>
            <w:r>
              <w:rPr>
                <w:b/>
                <w:lang w:bidi="mn-Mong-CN"/>
              </w:rPr>
              <w:t xml:space="preserve">  现有工程存在环境问题及“以新带老”措施</w:t>
            </w:r>
          </w:p>
          <w:tbl>
            <w:tblPr>
              <w:tblStyle w:val="1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7"/>
              <w:gridCol w:w="851"/>
              <w:gridCol w:w="2409"/>
              <w:gridCol w:w="425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spacing w:line="400" w:lineRule="exact"/>
                    <w:jc w:val="center"/>
                    <w:rPr>
                      <w:color w:val="000000"/>
                      <w:szCs w:val="21"/>
                    </w:rPr>
                  </w:pPr>
                  <w:r>
                    <w:rPr>
                      <w:color w:val="000000"/>
                      <w:szCs w:val="21"/>
                    </w:rPr>
                    <w:t>序号</w:t>
                  </w:r>
                </w:p>
              </w:tc>
              <w:tc>
                <w:tcPr>
                  <w:tcW w:w="851" w:type="dxa"/>
                  <w:vAlign w:val="center"/>
                </w:tcPr>
                <w:p>
                  <w:pPr>
                    <w:spacing w:line="400" w:lineRule="exact"/>
                    <w:jc w:val="center"/>
                    <w:rPr>
                      <w:color w:val="000000"/>
                      <w:szCs w:val="21"/>
                    </w:rPr>
                  </w:pPr>
                  <w:r>
                    <w:rPr>
                      <w:color w:val="000000"/>
                      <w:szCs w:val="21"/>
                    </w:rPr>
                    <w:t>项目</w:t>
                  </w:r>
                </w:p>
              </w:tc>
              <w:tc>
                <w:tcPr>
                  <w:tcW w:w="2409" w:type="dxa"/>
                  <w:vAlign w:val="center"/>
                </w:tcPr>
                <w:p>
                  <w:pPr>
                    <w:spacing w:line="400" w:lineRule="exact"/>
                    <w:jc w:val="center"/>
                    <w:rPr>
                      <w:color w:val="000000"/>
                      <w:szCs w:val="21"/>
                    </w:rPr>
                  </w:pPr>
                  <w:r>
                    <w:rPr>
                      <w:color w:val="000000"/>
                      <w:szCs w:val="21"/>
                    </w:rPr>
                    <w:t>现有工程的环境问题</w:t>
                  </w:r>
                </w:p>
              </w:tc>
              <w:tc>
                <w:tcPr>
                  <w:tcW w:w="4255" w:type="dxa"/>
                  <w:vAlign w:val="center"/>
                </w:tcPr>
                <w:p>
                  <w:pPr>
                    <w:spacing w:line="400" w:lineRule="exact"/>
                    <w:jc w:val="center"/>
                    <w:rPr>
                      <w:color w:val="000000"/>
                      <w:szCs w:val="21"/>
                    </w:rPr>
                  </w:pPr>
                  <w:r>
                    <w:rPr>
                      <w:color w:val="000000"/>
                      <w:szCs w:val="21"/>
                    </w:rPr>
                    <w:t>环评确定的“以新带老”方案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spacing w:line="400" w:lineRule="exact"/>
                    <w:jc w:val="center"/>
                    <w:rPr>
                      <w:color w:val="000000"/>
                      <w:szCs w:val="21"/>
                    </w:rPr>
                  </w:pPr>
                  <w:r>
                    <w:rPr>
                      <w:color w:val="000000"/>
                      <w:szCs w:val="21"/>
                    </w:rPr>
                    <w:t>1</w:t>
                  </w:r>
                </w:p>
              </w:tc>
              <w:tc>
                <w:tcPr>
                  <w:tcW w:w="851" w:type="dxa"/>
                  <w:vAlign w:val="center"/>
                </w:tcPr>
                <w:p>
                  <w:pPr>
                    <w:spacing w:line="400" w:lineRule="exact"/>
                    <w:jc w:val="center"/>
                    <w:rPr>
                      <w:color w:val="000000"/>
                      <w:szCs w:val="21"/>
                    </w:rPr>
                  </w:pPr>
                  <w:r>
                    <w:rPr>
                      <w:color w:val="000000"/>
                      <w:szCs w:val="21"/>
                    </w:rPr>
                    <w:t>噪声</w:t>
                  </w:r>
                </w:p>
              </w:tc>
              <w:tc>
                <w:tcPr>
                  <w:tcW w:w="2409" w:type="dxa"/>
                  <w:vAlign w:val="center"/>
                </w:tcPr>
                <w:p>
                  <w:pPr>
                    <w:spacing w:line="400" w:lineRule="exact"/>
                    <w:jc w:val="center"/>
                    <w:rPr>
                      <w:color w:val="000000"/>
                      <w:szCs w:val="21"/>
                    </w:rPr>
                  </w:pPr>
                  <w:r>
                    <w:rPr>
                      <w:color w:val="000000"/>
                      <w:szCs w:val="21"/>
                    </w:rPr>
                    <w:t>锻锤未封闭，产生的噪声对周围环境影响较大</w:t>
                  </w:r>
                </w:p>
              </w:tc>
              <w:tc>
                <w:tcPr>
                  <w:tcW w:w="4255" w:type="dxa"/>
                  <w:vAlign w:val="center"/>
                </w:tcPr>
                <w:p>
                  <w:pPr>
                    <w:spacing w:line="400" w:lineRule="exact"/>
                    <w:jc w:val="center"/>
                    <w:rPr>
                      <w:color w:val="000000"/>
                      <w:szCs w:val="21"/>
                    </w:rPr>
                  </w:pPr>
                  <w:r>
                    <w:rPr>
                      <w:color w:val="000000"/>
                      <w:szCs w:val="21"/>
                    </w:rPr>
                    <w:t>采取半封闭、减振隔音等措施。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spacing w:line="400" w:lineRule="exact"/>
                    <w:jc w:val="center"/>
                    <w:rPr>
                      <w:color w:val="000000"/>
                      <w:szCs w:val="21"/>
                    </w:rPr>
                  </w:pPr>
                  <w:r>
                    <w:rPr>
                      <w:color w:val="000000"/>
                      <w:szCs w:val="21"/>
                    </w:rPr>
                    <w:t>2</w:t>
                  </w:r>
                </w:p>
              </w:tc>
              <w:tc>
                <w:tcPr>
                  <w:tcW w:w="851" w:type="dxa"/>
                  <w:vAlign w:val="center"/>
                </w:tcPr>
                <w:p>
                  <w:pPr>
                    <w:spacing w:line="400" w:lineRule="exact"/>
                    <w:jc w:val="center"/>
                    <w:rPr>
                      <w:color w:val="000000"/>
                      <w:szCs w:val="21"/>
                    </w:rPr>
                  </w:pPr>
                  <w:r>
                    <w:rPr>
                      <w:color w:val="000000"/>
                      <w:szCs w:val="21"/>
                    </w:rPr>
                    <w:t>危废</w:t>
                  </w:r>
                </w:p>
              </w:tc>
              <w:tc>
                <w:tcPr>
                  <w:tcW w:w="2409" w:type="dxa"/>
                  <w:vAlign w:val="center"/>
                </w:tcPr>
                <w:p>
                  <w:pPr>
                    <w:spacing w:line="400" w:lineRule="exact"/>
                    <w:jc w:val="center"/>
                    <w:rPr>
                      <w:color w:val="000000"/>
                      <w:szCs w:val="21"/>
                    </w:rPr>
                  </w:pPr>
                  <w:r>
                    <w:rPr>
                      <w:color w:val="000000"/>
                      <w:szCs w:val="21"/>
                    </w:rPr>
                    <w:t>未设置危废暂存间，无危废台账，储存、转移、记录、管理等不完善</w:t>
                  </w:r>
                </w:p>
              </w:tc>
              <w:tc>
                <w:tcPr>
                  <w:tcW w:w="4255" w:type="dxa"/>
                  <w:vAlign w:val="center"/>
                </w:tcPr>
                <w:p>
                  <w:pPr>
                    <w:spacing w:line="400" w:lineRule="exact"/>
                    <w:jc w:val="center"/>
                    <w:rPr>
                      <w:color w:val="000000"/>
                      <w:szCs w:val="21"/>
                    </w:rPr>
                  </w:pPr>
                  <w:r>
                    <w:rPr>
                      <w:color w:val="000000"/>
                      <w:szCs w:val="21"/>
                    </w:rPr>
                    <w:t>建设10m</w:t>
                  </w:r>
                  <w:r>
                    <w:rPr>
                      <w:color w:val="000000"/>
                      <w:szCs w:val="21"/>
                      <w:vertAlign w:val="superscript"/>
                    </w:rPr>
                    <w:t>2</w:t>
                  </w:r>
                  <w:r>
                    <w:rPr>
                      <w:color w:val="000000"/>
                      <w:szCs w:val="21"/>
                    </w:rPr>
                    <w:t>危废暂存间，危废暂存间应有严密的封闭措施，设专（兼）职人员管理，防止非工作人员接触危险废物，做到防风、防雨、防晒、防渗漏。必须作好危险废物记录，记录上须注明危险废物的名称、来源、数量、特性和包装容器的类别、入库日期、存放库位、废物出库日期及接收单位名称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spacing w:line="400" w:lineRule="exact"/>
                    <w:jc w:val="center"/>
                    <w:rPr>
                      <w:color w:val="000000"/>
                      <w:szCs w:val="21"/>
                    </w:rPr>
                  </w:pPr>
                  <w:r>
                    <w:rPr>
                      <w:color w:val="000000"/>
                      <w:szCs w:val="21"/>
                    </w:rPr>
                    <w:t>3</w:t>
                  </w:r>
                </w:p>
              </w:tc>
              <w:tc>
                <w:tcPr>
                  <w:tcW w:w="851" w:type="dxa"/>
                  <w:vAlign w:val="center"/>
                </w:tcPr>
                <w:p>
                  <w:pPr>
                    <w:spacing w:line="400" w:lineRule="exact"/>
                    <w:jc w:val="center"/>
                    <w:rPr>
                      <w:color w:val="000000"/>
                      <w:szCs w:val="21"/>
                    </w:rPr>
                  </w:pPr>
                  <w:r>
                    <w:rPr>
                      <w:color w:val="000000"/>
                      <w:szCs w:val="21"/>
                    </w:rPr>
                    <w:t>管理</w:t>
                  </w:r>
                </w:p>
              </w:tc>
              <w:tc>
                <w:tcPr>
                  <w:tcW w:w="2409" w:type="dxa"/>
                  <w:vAlign w:val="center"/>
                </w:tcPr>
                <w:p>
                  <w:pPr>
                    <w:spacing w:line="400" w:lineRule="exact"/>
                    <w:jc w:val="center"/>
                    <w:rPr>
                      <w:color w:val="000000"/>
                      <w:szCs w:val="21"/>
                    </w:rPr>
                  </w:pPr>
                  <w:r>
                    <w:rPr>
                      <w:color w:val="000000"/>
                      <w:szCs w:val="21"/>
                    </w:rPr>
                    <w:t>环保管理制度和运行台账不完善</w:t>
                  </w:r>
                </w:p>
              </w:tc>
              <w:tc>
                <w:tcPr>
                  <w:tcW w:w="4255" w:type="dxa"/>
                  <w:vAlign w:val="center"/>
                </w:tcPr>
                <w:p>
                  <w:pPr>
                    <w:spacing w:line="400" w:lineRule="exact"/>
                    <w:jc w:val="center"/>
                    <w:rPr>
                      <w:color w:val="000000"/>
                      <w:szCs w:val="21"/>
                    </w:rPr>
                  </w:pPr>
                  <w:r>
                    <w:rPr>
                      <w:color w:val="000000"/>
                      <w:szCs w:val="21"/>
                    </w:rPr>
                    <w:t>推广6S管理；制定操作性强、针对性强、可查可控、便于监管的重污染天气应急预案。在重污染天气应急响应期间，按照预警等级要求减排到位，建立健全相关档案资料；完善环保工程运行台账。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spacing w:line="400" w:lineRule="exact"/>
                    <w:jc w:val="center"/>
                    <w:rPr>
                      <w:color w:val="000000"/>
                      <w:szCs w:val="21"/>
                    </w:rPr>
                  </w:pPr>
                  <w:r>
                    <w:rPr>
                      <w:color w:val="000000"/>
                      <w:szCs w:val="21"/>
                    </w:rPr>
                    <w:t>4</w:t>
                  </w:r>
                </w:p>
              </w:tc>
              <w:tc>
                <w:tcPr>
                  <w:tcW w:w="851" w:type="dxa"/>
                  <w:vAlign w:val="center"/>
                </w:tcPr>
                <w:p>
                  <w:pPr>
                    <w:spacing w:line="400" w:lineRule="exact"/>
                    <w:jc w:val="center"/>
                    <w:rPr>
                      <w:color w:val="000000"/>
                      <w:szCs w:val="21"/>
                    </w:rPr>
                  </w:pPr>
                  <w:r>
                    <w:rPr>
                      <w:color w:val="000000"/>
                      <w:szCs w:val="21"/>
                    </w:rPr>
                    <w:t>废气</w:t>
                  </w:r>
                </w:p>
              </w:tc>
              <w:tc>
                <w:tcPr>
                  <w:tcW w:w="2409" w:type="dxa"/>
                  <w:vAlign w:val="center"/>
                </w:tcPr>
                <w:p>
                  <w:pPr>
                    <w:spacing w:line="400" w:lineRule="exact"/>
                    <w:jc w:val="center"/>
                    <w:rPr>
                      <w:color w:val="000000"/>
                      <w:szCs w:val="21"/>
                    </w:rPr>
                  </w:pPr>
                  <w:r>
                    <w:rPr>
                      <w:color w:val="000000"/>
                      <w:szCs w:val="21"/>
                    </w:rPr>
                    <w:t>燃煤加热炉超标排放</w:t>
                  </w:r>
                </w:p>
              </w:tc>
              <w:tc>
                <w:tcPr>
                  <w:tcW w:w="4255" w:type="dxa"/>
                  <w:vAlign w:val="center"/>
                </w:tcPr>
                <w:p>
                  <w:pPr>
                    <w:spacing w:line="400" w:lineRule="exact"/>
                    <w:jc w:val="center"/>
                    <w:rPr>
                      <w:color w:val="000000"/>
                      <w:szCs w:val="21"/>
                    </w:rPr>
                  </w:pPr>
                  <w:r>
                    <w:rPr>
                      <w:color w:val="000000"/>
                      <w:szCs w:val="21"/>
                    </w:rPr>
                    <w:t>拆除燃煤加热炉</w:t>
                  </w:r>
                  <w:r>
                    <w:rPr>
                      <w:rFonts w:hint="eastAsia"/>
                      <w:color w:val="000000"/>
                      <w:szCs w:val="21"/>
                    </w:rPr>
                    <w:t>，本次扩建工程改建为燃气加热炉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Align w:val="center"/>
                </w:tcPr>
                <w:p>
                  <w:pPr>
                    <w:spacing w:line="400" w:lineRule="exact"/>
                    <w:jc w:val="center"/>
                    <w:rPr>
                      <w:color w:val="000000"/>
                      <w:szCs w:val="21"/>
                    </w:rPr>
                  </w:pPr>
                  <w:r>
                    <w:rPr>
                      <w:color w:val="000000"/>
                      <w:szCs w:val="21"/>
                    </w:rPr>
                    <w:t>5</w:t>
                  </w:r>
                </w:p>
              </w:tc>
              <w:tc>
                <w:tcPr>
                  <w:tcW w:w="851" w:type="dxa"/>
                  <w:vAlign w:val="center"/>
                </w:tcPr>
                <w:p>
                  <w:pPr>
                    <w:spacing w:line="400" w:lineRule="exact"/>
                    <w:jc w:val="center"/>
                    <w:rPr>
                      <w:color w:val="000000"/>
                      <w:szCs w:val="21"/>
                    </w:rPr>
                  </w:pPr>
                  <w:r>
                    <w:rPr>
                      <w:color w:val="000000"/>
                      <w:szCs w:val="21"/>
                    </w:rPr>
                    <w:t>固废</w:t>
                  </w:r>
                </w:p>
              </w:tc>
              <w:tc>
                <w:tcPr>
                  <w:tcW w:w="2409" w:type="dxa"/>
                  <w:vAlign w:val="center"/>
                </w:tcPr>
                <w:p>
                  <w:pPr>
                    <w:autoSpaceDE w:val="0"/>
                    <w:autoSpaceDN w:val="0"/>
                    <w:spacing w:line="320" w:lineRule="atLeast"/>
                    <w:contextualSpacing/>
                    <w:jc w:val="center"/>
                    <w:rPr>
                      <w:szCs w:val="21"/>
                    </w:rPr>
                  </w:pPr>
                  <w:r>
                    <w:rPr>
                      <w:szCs w:val="21"/>
                    </w:rPr>
                    <w:t>露天堆放</w:t>
                  </w:r>
                </w:p>
              </w:tc>
              <w:tc>
                <w:tcPr>
                  <w:tcW w:w="4255" w:type="dxa"/>
                  <w:vAlign w:val="center"/>
                </w:tcPr>
                <w:p>
                  <w:pPr>
                    <w:autoSpaceDE w:val="0"/>
                    <w:autoSpaceDN w:val="0"/>
                    <w:spacing w:line="320" w:lineRule="atLeast"/>
                    <w:contextualSpacing/>
                    <w:jc w:val="center"/>
                    <w:rPr>
                      <w:bCs/>
                    </w:rPr>
                  </w:pPr>
                  <w:r>
                    <w:rPr>
                      <w:bCs/>
                    </w:rPr>
                    <w:t>设立30m</w:t>
                  </w:r>
                  <w:r>
                    <w:rPr>
                      <w:bCs/>
                      <w:vertAlign w:val="superscript"/>
                    </w:rPr>
                    <w:t>2</w:t>
                  </w:r>
                  <w:r>
                    <w:rPr>
                      <w:bCs/>
                    </w:rPr>
                    <w:t>固废暂存间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Merge w:val="restart"/>
                  <w:vAlign w:val="center"/>
                </w:tcPr>
                <w:p>
                  <w:pPr>
                    <w:spacing w:line="400" w:lineRule="exact"/>
                    <w:jc w:val="center"/>
                    <w:rPr>
                      <w:color w:val="000000"/>
                      <w:szCs w:val="21"/>
                    </w:rPr>
                  </w:pPr>
                  <w:r>
                    <w:rPr>
                      <w:color w:val="000000"/>
                      <w:szCs w:val="21"/>
                    </w:rPr>
                    <w:t>6</w:t>
                  </w:r>
                </w:p>
              </w:tc>
              <w:tc>
                <w:tcPr>
                  <w:tcW w:w="851" w:type="dxa"/>
                  <w:vMerge w:val="restart"/>
                  <w:vAlign w:val="center"/>
                </w:tcPr>
                <w:p>
                  <w:pPr>
                    <w:spacing w:line="400" w:lineRule="exact"/>
                    <w:jc w:val="center"/>
                    <w:rPr>
                      <w:color w:val="000000"/>
                      <w:szCs w:val="21"/>
                    </w:rPr>
                  </w:pPr>
                  <w:r>
                    <w:rPr>
                      <w:color w:val="000000"/>
                      <w:szCs w:val="21"/>
                    </w:rPr>
                    <w:t>场地</w:t>
                  </w:r>
                </w:p>
              </w:tc>
              <w:tc>
                <w:tcPr>
                  <w:tcW w:w="2409" w:type="dxa"/>
                  <w:vAlign w:val="center"/>
                </w:tcPr>
                <w:p>
                  <w:pPr>
                    <w:autoSpaceDE w:val="0"/>
                    <w:autoSpaceDN w:val="0"/>
                    <w:spacing w:line="320" w:lineRule="atLeast"/>
                    <w:contextualSpacing/>
                    <w:jc w:val="center"/>
                    <w:rPr>
                      <w:szCs w:val="21"/>
                    </w:rPr>
                  </w:pPr>
                  <w:r>
                    <w:rPr>
                      <w:szCs w:val="21"/>
                    </w:rPr>
                    <w:t>场地未硬化</w:t>
                  </w:r>
                </w:p>
              </w:tc>
              <w:tc>
                <w:tcPr>
                  <w:tcW w:w="4255" w:type="dxa"/>
                  <w:vAlign w:val="center"/>
                </w:tcPr>
                <w:p>
                  <w:pPr>
                    <w:autoSpaceDE w:val="0"/>
                    <w:autoSpaceDN w:val="0"/>
                    <w:spacing w:line="320" w:lineRule="atLeast"/>
                    <w:contextualSpacing/>
                    <w:jc w:val="center"/>
                    <w:rPr>
                      <w:bCs/>
                    </w:rPr>
                  </w:pPr>
                  <w:r>
                    <w:rPr>
                      <w:bCs/>
                    </w:rPr>
                    <w:t>场地硬化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27" w:type="dxa"/>
                  <w:vMerge w:val="continue"/>
                  <w:vAlign w:val="center"/>
                </w:tcPr>
                <w:p>
                  <w:pPr>
                    <w:spacing w:line="400" w:lineRule="exact"/>
                    <w:jc w:val="center"/>
                    <w:rPr>
                      <w:color w:val="000000"/>
                      <w:szCs w:val="21"/>
                    </w:rPr>
                  </w:pPr>
                </w:p>
              </w:tc>
              <w:tc>
                <w:tcPr>
                  <w:tcW w:w="851" w:type="dxa"/>
                  <w:vMerge w:val="continue"/>
                  <w:vAlign w:val="center"/>
                </w:tcPr>
                <w:p>
                  <w:pPr>
                    <w:spacing w:line="400" w:lineRule="exact"/>
                    <w:jc w:val="center"/>
                    <w:rPr>
                      <w:color w:val="000000"/>
                      <w:szCs w:val="21"/>
                    </w:rPr>
                  </w:pPr>
                </w:p>
              </w:tc>
              <w:tc>
                <w:tcPr>
                  <w:tcW w:w="2409" w:type="dxa"/>
                  <w:vAlign w:val="center"/>
                </w:tcPr>
                <w:p>
                  <w:pPr>
                    <w:autoSpaceDE w:val="0"/>
                    <w:autoSpaceDN w:val="0"/>
                    <w:spacing w:line="320" w:lineRule="atLeast"/>
                    <w:contextualSpacing/>
                    <w:jc w:val="center"/>
                    <w:rPr>
                      <w:szCs w:val="21"/>
                    </w:rPr>
                  </w:pPr>
                  <w:r>
                    <w:rPr>
                      <w:szCs w:val="21"/>
                    </w:rPr>
                    <w:t>堆放大量砂土</w:t>
                  </w:r>
                </w:p>
              </w:tc>
              <w:tc>
                <w:tcPr>
                  <w:tcW w:w="4255" w:type="dxa"/>
                  <w:vAlign w:val="center"/>
                </w:tcPr>
                <w:p>
                  <w:pPr>
                    <w:autoSpaceDE w:val="0"/>
                    <w:autoSpaceDN w:val="0"/>
                    <w:spacing w:line="320" w:lineRule="atLeast"/>
                    <w:contextualSpacing/>
                    <w:jc w:val="center"/>
                    <w:rPr>
                      <w:bCs/>
                    </w:rPr>
                  </w:pPr>
                  <w:r>
                    <w:rPr>
                      <w:bCs/>
                    </w:rPr>
                    <w:t>场地及时清理，堆放砂土综合利用</w:t>
                  </w:r>
                </w:p>
              </w:tc>
            </w:tr>
          </w:tbl>
          <w:p>
            <w:pPr>
              <w:adjustRightInd w:val="0"/>
              <w:snapToGrid w:val="0"/>
              <w:spacing w:line="360" w:lineRule="auto"/>
              <w:jc w:val="center"/>
              <w:rPr>
                <w:b/>
                <w:lang w:bidi="mn-Mong-CN"/>
              </w:rPr>
            </w:pPr>
          </w:p>
          <w:p>
            <w:pPr>
              <w:adjustRightInd w:val="0"/>
              <w:snapToGrid w:val="0"/>
              <w:spacing w:line="360" w:lineRule="auto"/>
              <w:ind w:firstLine="480" w:firstLineChars="200"/>
              <w:rPr>
                <w:bCs/>
                <w:sz w:val="24"/>
                <w:szCs w:val="30"/>
                <w:lang w:bidi="mn-Mong-CN"/>
              </w:rPr>
            </w:pPr>
          </w:p>
          <w:p>
            <w:pPr>
              <w:adjustRightInd w:val="0"/>
              <w:snapToGrid w:val="0"/>
              <w:spacing w:line="360" w:lineRule="auto"/>
              <w:ind w:firstLine="480" w:firstLineChars="200"/>
              <w:rPr>
                <w:bCs/>
                <w:sz w:val="24"/>
                <w:szCs w:val="30"/>
                <w:lang w:bidi="mn-Mong-CN"/>
              </w:rPr>
            </w:pPr>
          </w:p>
          <w:p>
            <w:pPr>
              <w:adjustRightInd w:val="0"/>
              <w:snapToGrid w:val="0"/>
              <w:spacing w:line="360" w:lineRule="auto"/>
              <w:ind w:firstLine="480" w:firstLineChars="200"/>
              <w:rPr>
                <w:bCs/>
                <w:sz w:val="24"/>
                <w:szCs w:val="30"/>
                <w:lang w:bidi="mn-Mong-CN"/>
              </w:rPr>
            </w:pPr>
          </w:p>
          <w:p>
            <w:pPr>
              <w:adjustRightInd w:val="0"/>
              <w:snapToGrid w:val="0"/>
              <w:spacing w:line="360" w:lineRule="auto"/>
              <w:ind w:firstLine="480" w:firstLineChars="200"/>
              <w:rPr>
                <w:bCs/>
                <w:sz w:val="24"/>
                <w:szCs w:val="30"/>
                <w:lang w:bidi="mn-Mong-CN"/>
              </w:rPr>
            </w:pPr>
          </w:p>
          <w:p>
            <w:pPr>
              <w:adjustRightInd w:val="0"/>
              <w:snapToGrid w:val="0"/>
              <w:spacing w:line="360" w:lineRule="auto"/>
              <w:rPr>
                <w:bCs/>
                <w:sz w:val="24"/>
                <w:szCs w:val="30"/>
                <w:lang w:bidi="mn-Mong-CN"/>
              </w:rPr>
            </w:pPr>
          </w:p>
          <w:p>
            <w:pPr>
              <w:adjustRightInd w:val="0"/>
              <w:snapToGrid w:val="0"/>
              <w:spacing w:line="360" w:lineRule="auto"/>
              <w:ind w:firstLine="480" w:firstLineChars="200"/>
              <w:rPr>
                <w:bCs/>
                <w:sz w:val="24"/>
                <w:szCs w:val="30"/>
                <w:lang w:bidi="mn-Mong-CN"/>
              </w:rPr>
            </w:pPr>
          </w:p>
          <w:p>
            <w:pPr>
              <w:adjustRightInd w:val="0"/>
              <w:snapToGrid w:val="0"/>
              <w:spacing w:line="360" w:lineRule="auto"/>
              <w:rPr>
                <w:bCs/>
                <w:sz w:val="24"/>
                <w:szCs w:val="30"/>
                <w:lang w:bidi="mn-Mong-CN"/>
              </w:rPr>
            </w:pPr>
          </w:p>
        </w:tc>
      </w:tr>
    </w:tbl>
    <w:p>
      <w:pPr>
        <w:pStyle w:val="10"/>
        <w:jc w:val="center"/>
        <w:rPr>
          <w:rFonts w:ascii="Times New Roman" w:hAnsi="Times New Roman" w:cs="Times New Roman"/>
          <w:snapToGrid w:val="0"/>
          <w:sz w:val="36"/>
          <w:szCs w:val="36"/>
        </w:rPr>
        <w:sectPr>
          <w:footerReference r:id="rId8" w:type="default"/>
          <w:pgSz w:w="11906" w:h="16838"/>
          <w:pgMar w:top="1701" w:right="1531" w:bottom="1701" w:left="1531" w:header="851" w:footer="1077" w:gutter="0"/>
          <w:cols w:space="720" w:num="1"/>
          <w:docGrid w:linePitch="312" w:charSpace="0"/>
        </w:sectPr>
      </w:pPr>
    </w:p>
    <w:p>
      <w:pPr>
        <w:pStyle w:val="10"/>
        <w:adjustRightInd w:val="0"/>
        <w:snapToGrid w:val="0"/>
        <w:spacing w:before="0" w:beforeAutospacing="0" w:after="0" w:afterAutospacing="0" w:line="14" w:lineRule="auto"/>
        <w:jc w:val="center"/>
        <w:outlineLvl w:val="0"/>
        <w:rPr>
          <w:rFonts w:ascii="Times New Roman" w:hAnsi="Times New Roman" w:cs="Times New Roman"/>
          <w:snapToGrid w:val="0"/>
          <w:sz w:val="30"/>
          <w:szCs w:val="30"/>
        </w:rPr>
      </w:pPr>
    </w:p>
    <w:p>
      <w:pPr>
        <w:pStyle w:val="10"/>
        <w:jc w:val="center"/>
        <w:outlineLvl w:val="0"/>
        <w:rPr>
          <w:rFonts w:ascii="Times New Roman" w:hAnsi="Times New Roman" w:cs="Times New Roman"/>
          <w:snapToGrid w:val="0"/>
          <w:sz w:val="30"/>
          <w:szCs w:val="30"/>
        </w:rPr>
      </w:pPr>
      <w:r>
        <w:rPr>
          <w:rFonts w:ascii="Times New Roman" w:hAnsi="Times New Roman" w:cs="Times New Roman"/>
          <w:snapToGrid w:val="0"/>
          <w:sz w:val="30"/>
          <w:szCs w:val="30"/>
        </w:rPr>
        <w:t>三、区域环境质量现状、环境保护目标及评价标准</w:t>
      </w:r>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9"/>
        <w:gridCol w:w="849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6" w:hRule="atLeast"/>
          <w:jc w:val="center"/>
        </w:trPr>
        <w:tc>
          <w:tcPr>
            <w:tcW w:w="499" w:type="dxa"/>
            <w:vAlign w:val="center"/>
          </w:tcPr>
          <w:p>
            <w:pPr>
              <w:adjustRightInd w:val="0"/>
              <w:snapToGrid w:val="0"/>
              <w:jc w:val="center"/>
              <w:rPr>
                <w:kern w:val="0"/>
                <w:sz w:val="24"/>
              </w:rPr>
            </w:pPr>
            <w:r>
              <w:rPr>
                <w:kern w:val="0"/>
                <w:sz w:val="24"/>
              </w:rPr>
              <w:t>区域</w:t>
            </w:r>
          </w:p>
          <w:p>
            <w:pPr>
              <w:adjustRightInd w:val="0"/>
              <w:snapToGrid w:val="0"/>
              <w:jc w:val="center"/>
              <w:rPr>
                <w:kern w:val="0"/>
                <w:sz w:val="24"/>
              </w:rPr>
            </w:pPr>
            <w:r>
              <w:rPr>
                <w:kern w:val="0"/>
                <w:sz w:val="24"/>
              </w:rPr>
              <w:t>环境</w:t>
            </w:r>
          </w:p>
          <w:p>
            <w:pPr>
              <w:adjustRightInd w:val="0"/>
              <w:snapToGrid w:val="0"/>
              <w:jc w:val="center"/>
              <w:rPr>
                <w:kern w:val="0"/>
                <w:sz w:val="24"/>
              </w:rPr>
            </w:pPr>
            <w:r>
              <w:rPr>
                <w:kern w:val="0"/>
                <w:sz w:val="24"/>
              </w:rPr>
              <w:t>质量</w:t>
            </w:r>
          </w:p>
          <w:p>
            <w:pPr>
              <w:adjustRightInd w:val="0"/>
              <w:snapToGrid w:val="0"/>
              <w:jc w:val="center"/>
              <w:rPr>
                <w:kern w:val="0"/>
                <w:sz w:val="24"/>
              </w:rPr>
            </w:pPr>
            <w:r>
              <w:rPr>
                <w:kern w:val="0"/>
                <w:sz w:val="24"/>
              </w:rPr>
              <w:t>现状</w:t>
            </w:r>
          </w:p>
        </w:tc>
        <w:tc>
          <w:tcPr>
            <w:tcW w:w="8491" w:type="dxa"/>
          </w:tcPr>
          <w:p>
            <w:pPr>
              <w:spacing w:line="360" w:lineRule="auto"/>
              <w:ind w:firstLine="482" w:firstLineChars="200"/>
              <w:rPr>
                <w:b/>
                <w:bCs/>
                <w:sz w:val="24"/>
                <w:szCs w:val="22"/>
              </w:rPr>
            </w:pPr>
            <w:r>
              <w:rPr>
                <w:b/>
                <w:bCs/>
                <w:sz w:val="24"/>
                <w:szCs w:val="22"/>
              </w:rPr>
              <w:t>1、环境空气质量现状</w:t>
            </w:r>
          </w:p>
          <w:p>
            <w:pPr>
              <w:spacing w:line="360" w:lineRule="auto"/>
              <w:ind w:firstLine="480" w:firstLineChars="200"/>
              <w:rPr>
                <w:bCs/>
                <w:sz w:val="24"/>
                <w:szCs w:val="22"/>
              </w:rPr>
            </w:pPr>
            <w:r>
              <w:rPr>
                <w:sz w:val="24"/>
                <w:szCs w:val="22"/>
              </w:rPr>
              <w:t>本次评价收集了定襄县</w:t>
            </w:r>
            <w:r>
              <w:rPr>
                <w:bCs/>
                <w:sz w:val="24"/>
                <w:szCs w:val="22"/>
              </w:rPr>
              <w:t>2020年环境空气质量例行监测资料，统计结果见表</w:t>
            </w:r>
            <w:r>
              <w:rPr>
                <w:rFonts w:hint="eastAsia"/>
                <w:bCs/>
                <w:sz w:val="24"/>
                <w:szCs w:val="22"/>
              </w:rPr>
              <w:t>20</w:t>
            </w:r>
            <w:r>
              <w:rPr>
                <w:bCs/>
                <w:sz w:val="24"/>
                <w:szCs w:val="22"/>
              </w:rPr>
              <w:t>。</w:t>
            </w:r>
          </w:p>
          <w:p>
            <w:pPr>
              <w:spacing w:line="360" w:lineRule="auto"/>
              <w:ind w:left="-21" w:leftChars="-60" w:hanging="105" w:hangingChars="50"/>
              <w:jc w:val="center"/>
              <w:rPr>
                <w:b/>
                <w:szCs w:val="22"/>
              </w:rPr>
            </w:pPr>
            <w:r>
              <w:rPr>
                <w:b/>
                <w:szCs w:val="22"/>
              </w:rPr>
              <w:t>表</w:t>
            </w:r>
            <w:r>
              <w:rPr>
                <w:rFonts w:hint="eastAsia"/>
                <w:b/>
                <w:szCs w:val="22"/>
              </w:rPr>
              <w:t>20</w:t>
            </w:r>
            <w:r>
              <w:rPr>
                <w:b/>
                <w:szCs w:val="22"/>
              </w:rPr>
              <w:t xml:space="preserve">  环境空气监测一览表</w:t>
            </w:r>
          </w:p>
          <w:tbl>
            <w:tblPr>
              <w:tblStyle w:val="1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66"/>
              <w:gridCol w:w="2134"/>
              <w:gridCol w:w="1649"/>
              <w:gridCol w:w="1649"/>
              <w:gridCol w:w="164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07" w:type="pct"/>
                  <w:vAlign w:val="center"/>
                </w:tcPr>
                <w:p>
                  <w:pPr>
                    <w:jc w:val="center"/>
                    <w:rPr>
                      <w:bCs/>
                      <w:szCs w:val="22"/>
                    </w:rPr>
                  </w:pPr>
                  <w:r>
                    <w:rPr>
                      <w:bCs/>
                      <w:szCs w:val="22"/>
                    </w:rPr>
                    <w:t>监测项目</w:t>
                  </w:r>
                </w:p>
              </w:tc>
              <w:tc>
                <w:tcPr>
                  <w:tcW w:w="1294" w:type="pct"/>
                  <w:vAlign w:val="center"/>
                </w:tcPr>
                <w:p>
                  <w:pPr>
                    <w:jc w:val="center"/>
                    <w:rPr>
                      <w:bCs/>
                      <w:szCs w:val="21"/>
                    </w:rPr>
                  </w:pPr>
                  <w:r>
                    <w:rPr>
                      <w:bCs/>
                      <w:szCs w:val="21"/>
                    </w:rPr>
                    <w:t>项目</w:t>
                  </w:r>
                </w:p>
              </w:tc>
              <w:tc>
                <w:tcPr>
                  <w:tcW w:w="1000" w:type="pct"/>
                  <w:vAlign w:val="center"/>
                </w:tcPr>
                <w:p>
                  <w:pPr>
                    <w:jc w:val="center"/>
                    <w:rPr>
                      <w:bCs/>
                      <w:szCs w:val="22"/>
                    </w:rPr>
                  </w:pPr>
                  <w:r>
                    <w:rPr>
                      <w:bCs/>
                      <w:szCs w:val="22"/>
                    </w:rPr>
                    <w:t>监测值μg/m</w:t>
                  </w:r>
                  <w:r>
                    <w:rPr>
                      <w:bCs/>
                      <w:szCs w:val="22"/>
                      <w:vertAlign w:val="superscript"/>
                    </w:rPr>
                    <w:t>3</w:t>
                  </w:r>
                </w:p>
              </w:tc>
              <w:tc>
                <w:tcPr>
                  <w:tcW w:w="1000" w:type="pct"/>
                  <w:vAlign w:val="center"/>
                </w:tcPr>
                <w:p>
                  <w:pPr>
                    <w:jc w:val="center"/>
                    <w:rPr>
                      <w:bCs/>
                      <w:szCs w:val="22"/>
                    </w:rPr>
                  </w:pPr>
                  <w:r>
                    <w:rPr>
                      <w:bCs/>
                      <w:szCs w:val="22"/>
                    </w:rPr>
                    <w:t>标准值μg/m</w:t>
                  </w:r>
                  <w:r>
                    <w:rPr>
                      <w:bCs/>
                      <w:szCs w:val="22"/>
                      <w:vertAlign w:val="superscript"/>
                    </w:rPr>
                    <w:t>3</w:t>
                  </w:r>
                </w:p>
              </w:tc>
              <w:tc>
                <w:tcPr>
                  <w:tcW w:w="1000" w:type="pct"/>
                  <w:vAlign w:val="center"/>
                </w:tcPr>
                <w:p>
                  <w:pPr>
                    <w:jc w:val="center"/>
                    <w:rPr>
                      <w:bCs/>
                      <w:szCs w:val="22"/>
                    </w:rPr>
                  </w:pPr>
                  <w:r>
                    <w:rPr>
                      <w:bCs/>
                      <w:szCs w:val="22"/>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07" w:type="pct"/>
                  <w:vAlign w:val="center"/>
                </w:tcPr>
                <w:p>
                  <w:pPr>
                    <w:jc w:val="center"/>
                    <w:rPr>
                      <w:bCs/>
                      <w:szCs w:val="22"/>
                    </w:rPr>
                  </w:pPr>
                  <w:r>
                    <w:rPr>
                      <w:bCs/>
                      <w:szCs w:val="22"/>
                    </w:rPr>
                    <w:t>SO</w:t>
                  </w:r>
                  <w:r>
                    <w:rPr>
                      <w:bCs/>
                      <w:szCs w:val="22"/>
                      <w:vertAlign w:val="subscript"/>
                    </w:rPr>
                    <w:t>2</w:t>
                  </w:r>
                </w:p>
              </w:tc>
              <w:tc>
                <w:tcPr>
                  <w:tcW w:w="1294" w:type="pct"/>
                  <w:vAlign w:val="center"/>
                </w:tcPr>
                <w:p>
                  <w:pPr>
                    <w:jc w:val="center"/>
                    <w:rPr>
                      <w:bCs/>
                      <w:szCs w:val="22"/>
                    </w:rPr>
                  </w:pPr>
                  <w:r>
                    <w:rPr>
                      <w:bCs/>
                      <w:szCs w:val="22"/>
                    </w:rPr>
                    <w:t>年均值</w:t>
                  </w:r>
                </w:p>
              </w:tc>
              <w:tc>
                <w:tcPr>
                  <w:tcW w:w="1000" w:type="pct"/>
                  <w:vAlign w:val="center"/>
                </w:tcPr>
                <w:p>
                  <w:pPr>
                    <w:jc w:val="center"/>
                    <w:rPr>
                      <w:bCs/>
                      <w:szCs w:val="22"/>
                    </w:rPr>
                  </w:pPr>
                  <w:r>
                    <w:rPr>
                      <w:bCs/>
                      <w:szCs w:val="22"/>
                    </w:rPr>
                    <w:t>18</w:t>
                  </w:r>
                </w:p>
              </w:tc>
              <w:tc>
                <w:tcPr>
                  <w:tcW w:w="1000" w:type="pct"/>
                  <w:vAlign w:val="center"/>
                </w:tcPr>
                <w:p>
                  <w:pPr>
                    <w:jc w:val="center"/>
                    <w:rPr>
                      <w:bCs/>
                      <w:szCs w:val="22"/>
                    </w:rPr>
                  </w:pPr>
                  <w:r>
                    <w:rPr>
                      <w:bCs/>
                      <w:szCs w:val="22"/>
                    </w:rPr>
                    <w:t>60</w:t>
                  </w:r>
                </w:p>
              </w:tc>
              <w:tc>
                <w:tcPr>
                  <w:tcW w:w="1000" w:type="pct"/>
                  <w:vAlign w:val="center"/>
                </w:tcPr>
                <w:p>
                  <w:pPr>
                    <w:jc w:val="center"/>
                    <w:rPr>
                      <w:bCs/>
                      <w:szCs w:val="22"/>
                    </w:rPr>
                  </w:pPr>
                  <w:r>
                    <w:rPr>
                      <w:szCs w:val="22"/>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07" w:type="pct"/>
                  <w:vAlign w:val="center"/>
                </w:tcPr>
                <w:p>
                  <w:pPr>
                    <w:jc w:val="center"/>
                    <w:rPr>
                      <w:bCs/>
                      <w:szCs w:val="22"/>
                    </w:rPr>
                  </w:pPr>
                  <w:r>
                    <w:rPr>
                      <w:bCs/>
                      <w:szCs w:val="22"/>
                    </w:rPr>
                    <w:t>NO</w:t>
                  </w:r>
                  <w:r>
                    <w:rPr>
                      <w:bCs/>
                      <w:szCs w:val="22"/>
                      <w:vertAlign w:val="subscript"/>
                    </w:rPr>
                    <w:t>2</w:t>
                  </w:r>
                </w:p>
              </w:tc>
              <w:tc>
                <w:tcPr>
                  <w:tcW w:w="1294" w:type="pct"/>
                  <w:vAlign w:val="center"/>
                </w:tcPr>
                <w:p>
                  <w:pPr>
                    <w:jc w:val="center"/>
                    <w:rPr>
                      <w:bCs/>
                      <w:szCs w:val="22"/>
                    </w:rPr>
                  </w:pPr>
                  <w:r>
                    <w:rPr>
                      <w:bCs/>
                      <w:szCs w:val="22"/>
                    </w:rPr>
                    <w:t>年均值</w:t>
                  </w:r>
                </w:p>
              </w:tc>
              <w:tc>
                <w:tcPr>
                  <w:tcW w:w="1000" w:type="pct"/>
                  <w:vAlign w:val="center"/>
                </w:tcPr>
                <w:p>
                  <w:pPr>
                    <w:jc w:val="center"/>
                    <w:rPr>
                      <w:bCs/>
                      <w:szCs w:val="22"/>
                    </w:rPr>
                  </w:pPr>
                  <w:r>
                    <w:rPr>
                      <w:bCs/>
                      <w:szCs w:val="22"/>
                    </w:rPr>
                    <w:t>35</w:t>
                  </w:r>
                </w:p>
              </w:tc>
              <w:tc>
                <w:tcPr>
                  <w:tcW w:w="1000" w:type="pct"/>
                  <w:vAlign w:val="center"/>
                </w:tcPr>
                <w:p>
                  <w:pPr>
                    <w:jc w:val="center"/>
                    <w:rPr>
                      <w:bCs/>
                      <w:szCs w:val="22"/>
                    </w:rPr>
                  </w:pPr>
                  <w:r>
                    <w:rPr>
                      <w:bCs/>
                      <w:szCs w:val="22"/>
                    </w:rPr>
                    <w:t>40</w:t>
                  </w:r>
                </w:p>
              </w:tc>
              <w:tc>
                <w:tcPr>
                  <w:tcW w:w="1000" w:type="pct"/>
                  <w:vAlign w:val="center"/>
                </w:tcPr>
                <w:p>
                  <w:pPr>
                    <w:jc w:val="center"/>
                    <w:rPr>
                      <w:bCs/>
                      <w:szCs w:val="22"/>
                    </w:rPr>
                  </w:pPr>
                  <w:r>
                    <w:rPr>
                      <w:szCs w:val="22"/>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07" w:type="pct"/>
                  <w:vAlign w:val="center"/>
                </w:tcPr>
                <w:p>
                  <w:pPr>
                    <w:jc w:val="center"/>
                    <w:rPr>
                      <w:bCs/>
                      <w:szCs w:val="22"/>
                    </w:rPr>
                  </w:pPr>
                  <w:r>
                    <w:rPr>
                      <w:bCs/>
                      <w:szCs w:val="22"/>
                    </w:rPr>
                    <w:t>PM</w:t>
                  </w:r>
                  <w:r>
                    <w:rPr>
                      <w:bCs/>
                      <w:szCs w:val="22"/>
                      <w:vertAlign w:val="subscript"/>
                    </w:rPr>
                    <w:t>10</w:t>
                  </w:r>
                </w:p>
              </w:tc>
              <w:tc>
                <w:tcPr>
                  <w:tcW w:w="1294" w:type="pct"/>
                  <w:vAlign w:val="center"/>
                </w:tcPr>
                <w:p>
                  <w:pPr>
                    <w:jc w:val="center"/>
                    <w:rPr>
                      <w:bCs/>
                      <w:szCs w:val="22"/>
                    </w:rPr>
                  </w:pPr>
                  <w:r>
                    <w:rPr>
                      <w:bCs/>
                      <w:szCs w:val="22"/>
                    </w:rPr>
                    <w:t>年均值</w:t>
                  </w:r>
                </w:p>
              </w:tc>
              <w:tc>
                <w:tcPr>
                  <w:tcW w:w="1000" w:type="pct"/>
                  <w:vAlign w:val="center"/>
                </w:tcPr>
                <w:p>
                  <w:pPr>
                    <w:jc w:val="center"/>
                    <w:rPr>
                      <w:bCs/>
                      <w:szCs w:val="22"/>
                    </w:rPr>
                  </w:pPr>
                  <w:r>
                    <w:rPr>
                      <w:bCs/>
                      <w:szCs w:val="22"/>
                    </w:rPr>
                    <w:t>107</w:t>
                  </w:r>
                </w:p>
              </w:tc>
              <w:tc>
                <w:tcPr>
                  <w:tcW w:w="1000" w:type="pct"/>
                  <w:vAlign w:val="center"/>
                </w:tcPr>
                <w:p>
                  <w:pPr>
                    <w:jc w:val="center"/>
                    <w:rPr>
                      <w:bCs/>
                      <w:szCs w:val="22"/>
                    </w:rPr>
                  </w:pPr>
                  <w:r>
                    <w:rPr>
                      <w:bCs/>
                      <w:szCs w:val="22"/>
                    </w:rPr>
                    <w:t>70</w:t>
                  </w:r>
                </w:p>
              </w:tc>
              <w:tc>
                <w:tcPr>
                  <w:tcW w:w="1000" w:type="pct"/>
                  <w:vAlign w:val="center"/>
                </w:tcPr>
                <w:p>
                  <w:pPr>
                    <w:jc w:val="center"/>
                    <w:rPr>
                      <w:bCs/>
                      <w:szCs w:val="22"/>
                    </w:rPr>
                  </w:pPr>
                  <w:r>
                    <w:rPr>
                      <w:szCs w:val="22"/>
                    </w:rPr>
                    <w:t>不达标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07" w:type="pct"/>
                  <w:vAlign w:val="center"/>
                </w:tcPr>
                <w:p>
                  <w:pPr>
                    <w:jc w:val="center"/>
                    <w:rPr>
                      <w:bCs/>
                      <w:szCs w:val="22"/>
                    </w:rPr>
                  </w:pPr>
                  <w:r>
                    <w:rPr>
                      <w:bCs/>
                      <w:szCs w:val="22"/>
                    </w:rPr>
                    <w:t>PM</w:t>
                  </w:r>
                  <w:r>
                    <w:rPr>
                      <w:bCs/>
                      <w:szCs w:val="22"/>
                      <w:vertAlign w:val="subscript"/>
                    </w:rPr>
                    <w:t>2.5</w:t>
                  </w:r>
                </w:p>
              </w:tc>
              <w:tc>
                <w:tcPr>
                  <w:tcW w:w="1294" w:type="pct"/>
                  <w:vAlign w:val="center"/>
                </w:tcPr>
                <w:p>
                  <w:pPr>
                    <w:jc w:val="center"/>
                    <w:rPr>
                      <w:bCs/>
                      <w:szCs w:val="22"/>
                    </w:rPr>
                  </w:pPr>
                  <w:r>
                    <w:rPr>
                      <w:bCs/>
                      <w:szCs w:val="22"/>
                    </w:rPr>
                    <w:t>年均值</w:t>
                  </w:r>
                </w:p>
              </w:tc>
              <w:tc>
                <w:tcPr>
                  <w:tcW w:w="1000" w:type="pct"/>
                  <w:vAlign w:val="center"/>
                </w:tcPr>
                <w:p>
                  <w:pPr>
                    <w:jc w:val="center"/>
                    <w:rPr>
                      <w:bCs/>
                      <w:szCs w:val="22"/>
                    </w:rPr>
                  </w:pPr>
                  <w:r>
                    <w:rPr>
                      <w:bCs/>
                      <w:szCs w:val="22"/>
                    </w:rPr>
                    <w:t>61</w:t>
                  </w:r>
                </w:p>
              </w:tc>
              <w:tc>
                <w:tcPr>
                  <w:tcW w:w="1000" w:type="pct"/>
                  <w:vAlign w:val="center"/>
                </w:tcPr>
                <w:p>
                  <w:pPr>
                    <w:jc w:val="center"/>
                    <w:rPr>
                      <w:bCs/>
                      <w:szCs w:val="22"/>
                    </w:rPr>
                  </w:pPr>
                  <w:r>
                    <w:rPr>
                      <w:bCs/>
                      <w:szCs w:val="22"/>
                    </w:rPr>
                    <w:t>35</w:t>
                  </w:r>
                </w:p>
              </w:tc>
              <w:tc>
                <w:tcPr>
                  <w:tcW w:w="1000" w:type="pct"/>
                  <w:vAlign w:val="center"/>
                </w:tcPr>
                <w:p>
                  <w:pPr>
                    <w:jc w:val="center"/>
                    <w:rPr>
                      <w:bCs/>
                      <w:szCs w:val="22"/>
                    </w:rPr>
                  </w:pPr>
                  <w:r>
                    <w:rPr>
                      <w:bCs/>
                      <w:szCs w:val="22"/>
                    </w:rPr>
                    <w:t>不达标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07" w:type="pct"/>
                  <w:vAlign w:val="center"/>
                </w:tcPr>
                <w:p>
                  <w:pPr>
                    <w:jc w:val="center"/>
                    <w:rPr>
                      <w:bCs/>
                      <w:szCs w:val="22"/>
                    </w:rPr>
                  </w:pPr>
                  <w:r>
                    <w:rPr>
                      <w:bCs/>
                      <w:szCs w:val="22"/>
                    </w:rPr>
                    <w:t>O</w:t>
                  </w:r>
                  <w:r>
                    <w:rPr>
                      <w:bCs/>
                      <w:szCs w:val="22"/>
                      <w:vertAlign w:val="subscript"/>
                    </w:rPr>
                    <w:t>3</w:t>
                  </w:r>
                </w:p>
              </w:tc>
              <w:tc>
                <w:tcPr>
                  <w:tcW w:w="1294" w:type="pct"/>
                  <w:vAlign w:val="center"/>
                </w:tcPr>
                <w:p>
                  <w:pPr>
                    <w:jc w:val="center"/>
                    <w:rPr>
                      <w:bCs/>
                      <w:szCs w:val="22"/>
                    </w:rPr>
                  </w:pPr>
                  <w:r>
                    <w:rPr>
                      <w:bCs/>
                      <w:szCs w:val="22"/>
                    </w:rPr>
                    <w:t>8h百分位浓度</w:t>
                  </w:r>
                </w:p>
              </w:tc>
              <w:tc>
                <w:tcPr>
                  <w:tcW w:w="1000" w:type="pct"/>
                  <w:vAlign w:val="center"/>
                </w:tcPr>
                <w:p>
                  <w:pPr>
                    <w:jc w:val="center"/>
                    <w:rPr>
                      <w:bCs/>
                      <w:szCs w:val="22"/>
                    </w:rPr>
                  </w:pPr>
                  <w:r>
                    <w:rPr>
                      <w:bCs/>
                      <w:szCs w:val="22"/>
                    </w:rPr>
                    <w:t>162</w:t>
                  </w:r>
                </w:p>
              </w:tc>
              <w:tc>
                <w:tcPr>
                  <w:tcW w:w="1000" w:type="pct"/>
                  <w:vAlign w:val="center"/>
                </w:tcPr>
                <w:p>
                  <w:pPr>
                    <w:jc w:val="center"/>
                    <w:rPr>
                      <w:bCs/>
                      <w:szCs w:val="22"/>
                    </w:rPr>
                  </w:pPr>
                  <w:r>
                    <w:rPr>
                      <w:bCs/>
                      <w:szCs w:val="22"/>
                    </w:rPr>
                    <w:t>160</w:t>
                  </w:r>
                </w:p>
              </w:tc>
              <w:tc>
                <w:tcPr>
                  <w:tcW w:w="1000" w:type="pct"/>
                  <w:vAlign w:val="center"/>
                </w:tcPr>
                <w:p>
                  <w:pPr>
                    <w:jc w:val="center"/>
                    <w:rPr>
                      <w:bCs/>
                      <w:szCs w:val="22"/>
                    </w:rPr>
                  </w:pPr>
                  <w:r>
                    <w:rPr>
                      <w:szCs w:val="22"/>
                    </w:rPr>
                    <w:t>不达标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707" w:type="pct"/>
                  <w:vAlign w:val="center"/>
                </w:tcPr>
                <w:p>
                  <w:pPr>
                    <w:jc w:val="center"/>
                    <w:rPr>
                      <w:bCs/>
                      <w:szCs w:val="22"/>
                    </w:rPr>
                  </w:pPr>
                  <w:r>
                    <w:rPr>
                      <w:bCs/>
                      <w:szCs w:val="22"/>
                    </w:rPr>
                    <w:t>CO</w:t>
                  </w:r>
                </w:p>
              </w:tc>
              <w:tc>
                <w:tcPr>
                  <w:tcW w:w="1294" w:type="pct"/>
                  <w:vAlign w:val="center"/>
                </w:tcPr>
                <w:p>
                  <w:pPr>
                    <w:jc w:val="center"/>
                    <w:rPr>
                      <w:bCs/>
                      <w:szCs w:val="22"/>
                    </w:rPr>
                  </w:pPr>
                  <w:r>
                    <w:rPr>
                      <w:bCs/>
                      <w:szCs w:val="22"/>
                    </w:rPr>
                    <w:t>24h百分位浓度</w:t>
                  </w:r>
                </w:p>
              </w:tc>
              <w:tc>
                <w:tcPr>
                  <w:tcW w:w="1000" w:type="pct"/>
                  <w:vAlign w:val="center"/>
                </w:tcPr>
                <w:p>
                  <w:pPr>
                    <w:jc w:val="center"/>
                    <w:rPr>
                      <w:bCs/>
                      <w:szCs w:val="22"/>
                    </w:rPr>
                  </w:pPr>
                  <w:r>
                    <w:rPr>
                      <w:bCs/>
                      <w:szCs w:val="22"/>
                    </w:rPr>
                    <w:t>2.2mg/m</w:t>
                  </w:r>
                  <w:r>
                    <w:rPr>
                      <w:bCs/>
                      <w:szCs w:val="22"/>
                      <w:vertAlign w:val="superscript"/>
                    </w:rPr>
                    <w:t>3</w:t>
                  </w:r>
                </w:p>
              </w:tc>
              <w:tc>
                <w:tcPr>
                  <w:tcW w:w="1000" w:type="pct"/>
                  <w:vAlign w:val="center"/>
                </w:tcPr>
                <w:p>
                  <w:pPr>
                    <w:jc w:val="center"/>
                    <w:rPr>
                      <w:bCs/>
                      <w:szCs w:val="22"/>
                    </w:rPr>
                  </w:pPr>
                  <w:r>
                    <w:rPr>
                      <w:bCs/>
                      <w:szCs w:val="22"/>
                    </w:rPr>
                    <w:t>4.0mg/m</w:t>
                  </w:r>
                  <w:r>
                    <w:rPr>
                      <w:bCs/>
                      <w:szCs w:val="22"/>
                      <w:vertAlign w:val="superscript"/>
                    </w:rPr>
                    <w:t>3</w:t>
                  </w:r>
                </w:p>
              </w:tc>
              <w:tc>
                <w:tcPr>
                  <w:tcW w:w="1000" w:type="pct"/>
                  <w:vAlign w:val="center"/>
                </w:tcPr>
                <w:p>
                  <w:pPr>
                    <w:jc w:val="center"/>
                    <w:rPr>
                      <w:bCs/>
                      <w:szCs w:val="22"/>
                    </w:rPr>
                  </w:pPr>
                  <w:r>
                    <w:rPr>
                      <w:bCs/>
                      <w:szCs w:val="22"/>
                    </w:rPr>
                    <w:t>达标</w:t>
                  </w:r>
                </w:p>
              </w:tc>
            </w:tr>
          </w:tbl>
          <w:p>
            <w:pPr>
              <w:spacing w:line="360" w:lineRule="auto"/>
              <w:ind w:firstLine="480" w:firstLineChars="200"/>
              <w:rPr>
                <w:sz w:val="24"/>
                <w:szCs w:val="22"/>
              </w:rPr>
            </w:pPr>
            <w:r>
              <w:rPr>
                <w:sz w:val="24"/>
                <w:szCs w:val="22"/>
              </w:rPr>
              <w:t>根据统计结果，定襄县SO</w:t>
            </w:r>
            <w:r>
              <w:rPr>
                <w:sz w:val="24"/>
                <w:szCs w:val="22"/>
                <w:vertAlign w:val="subscript"/>
              </w:rPr>
              <w:t>2</w:t>
            </w:r>
            <w:r>
              <w:rPr>
                <w:sz w:val="24"/>
                <w:szCs w:val="22"/>
              </w:rPr>
              <w:t>年均值、NO</w:t>
            </w:r>
            <w:r>
              <w:rPr>
                <w:sz w:val="24"/>
                <w:szCs w:val="22"/>
                <w:vertAlign w:val="subscript"/>
              </w:rPr>
              <w:t>2</w:t>
            </w:r>
            <w:r>
              <w:rPr>
                <w:sz w:val="24"/>
                <w:szCs w:val="22"/>
              </w:rPr>
              <w:t>年均值、CO日均值第95百分位浓度均满足环境空气质量二级标准，PM</w:t>
            </w:r>
            <w:r>
              <w:rPr>
                <w:sz w:val="24"/>
                <w:szCs w:val="22"/>
                <w:vertAlign w:val="subscript"/>
              </w:rPr>
              <w:t>10</w:t>
            </w:r>
            <w:r>
              <w:rPr>
                <w:sz w:val="24"/>
                <w:szCs w:val="22"/>
              </w:rPr>
              <w:t>年均值、PM</w:t>
            </w:r>
            <w:r>
              <w:rPr>
                <w:sz w:val="24"/>
                <w:szCs w:val="22"/>
                <w:vertAlign w:val="subscript"/>
              </w:rPr>
              <w:t>2.5</w:t>
            </w:r>
            <w:r>
              <w:rPr>
                <w:sz w:val="24"/>
                <w:szCs w:val="22"/>
              </w:rPr>
              <w:t>年均值、O</w:t>
            </w:r>
            <w:r>
              <w:rPr>
                <w:sz w:val="24"/>
                <w:szCs w:val="22"/>
                <w:vertAlign w:val="subscript"/>
              </w:rPr>
              <w:t>3</w:t>
            </w:r>
            <w:r>
              <w:rPr>
                <w:sz w:val="24"/>
                <w:szCs w:val="22"/>
              </w:rPr>
              <w:t>最大8小时平均值第90百分位值均超过</w:t>
            </w:r>
            <w:r>
              <w:rPr>
                <w:bCs/>
                <w:sz w:val="24"/>
                <w:szCs w:val="22"/>
              </w:rPr>
              <w:t>《环境空气质量标准》（GB3095-2012）</w:t>
            </w:r>
            <w:r>
              <w:rPr>
                <w:sz w:val="24"/>
                <w:szCs w:val="22"/>
              </w:rPr>
              <w:t>二级标准。由此判定，评价区为不达标区。</w:t>
            </w:r>
          </w:p>
          <w:p>
            <w:pPr>
              <w:spacing w:line="360" w:lineRule="auto"/>
              <w:ind w:firstLine="482" w:firstLineChars="200"/>
              <w:rPr>
                <w:b/>
                <w:bCs/>
                <w:sz w:val="24"/>
                <w:szCs w:val="22"/>
              </w:rPr>
            </w:pPr>
            <w:r>
              <w:rPr>
                <w:b/>
                <w:bCs/>
                <w:sz w:val="24"/>
                <w:szCs w:val="22"/>
              </w:rPr>
              <w:t>2、地表水环境质量现状</w:t>
            </w:r>
          </w:p>
          <w:p>
            <w:pPr>
              <w:spacing w:line="360" w:lineRule="auto"/>
              <w:ind w:firstLine="480" w:firstLineChars="200"/>
              <w:rPr>
                <w:color w:val="000000"/>
                <w:sz w:val="24"/>
              </w:rPr>
            </w:pPr>
            <w:r>
              <w:rPr>
                <w:color w:val="000000"/>
                <w:sz w:val="24"/>
              </w:rPr>
              <w:t>距本项目最近的地表水体牧马河1.8km，根据《山西省地表水水环境功能区划》（DB14/67-2019），该段地表水属于海河流域滹沱河山区滹沱河水系，河流为支流牧马河，范围起自智村桥至入滹沱河干流，水环境功能为农业与景观娱乐用水保护，水质要求为Ⅱ类水质标准，执行《地表水环境质量标准》（GB3838-2002）中Ⅱ类水质标准。</w:t>
            </w:r>
          </w:p>
          <w:p>
            <w:pPr>
              <w:spacing w:line="360" w:lineRule="auto"/>
              <w:ind w:firstLine="480" w:firstLineChars="200"/>
              <w:rPr>
                <w:color w:val="000000"/>
                <w:sz w:val="24"/>
              </w:rPr>
            </w:pPr>
            <w:r>
              <w:rPr>
                <w:color w:val="000000"/>
                <w:sz w:val="24"/>
              </w:rPr>
              <w:t>根据忻州市水污染防治工作领导小组办公室发布的地表水环境质量情况通报：</w:t>
            </w:r>
          </w:p>
          <w:p>
            <w:pPr>
              <w:spacing w:line="360" w:lineRule="auto"/>
              <w:ind w:firstLine="480" w:firstLineChars="200"/>
              <w:rPr>
                <w:color w:val="000000"/>
                <w:sz w:val="24"/>
              </w:rPr>
            </w:pPr>
            <w:r>
              <w:rPr>
                <w:color w:val="000000"/>
                <w:sz w:val="24"/>
              </w:rPr>
              <w:t>2020年12月牧马河陈家营国考断面水质为Ⅲ类；</w:t>
            </w:r>
          </w:p>
          <w:p>
            <w:pPr>
              <w:spacing w:line="360" w:lineRule="auto"/>
              <w:ind w:firstLine="480" w:firstLineChars="200"/>
              <w:rPr>
                <w:color w:val="000000"/>
                <w:sz w:val="24"/>
              </w:rPr>
            </w:pPr>
            <w:r>
              <w:rPr>
                <w:color w:val="000000"/>
                <w:sz w:val="24"/>
              </w:rPr>
              <w:t>2021年1月、2月因气候原因断流牧马河陈家营无监测数据；</w:t>
            </w:r>
          </w:p>
          <w:p>
            <w:pPr>
              <w:spacing w:line="360" w:lineRule="auto"/>
              <w:ind w:firstLine="480" w:firstLineChars="200"/>
              <w:rPr>
                <w:color w:val="000000"/>
                <w:sz w:val="24"/>
              </w:rPr>
            </w:pPr>
            <w:r>
              <w:rPr>
                <w:color w:val="000000"/>
                <w:sz w:val="24"/>
              </w:rPr>
              <w:t>2021年3月牧马河陈家营国考断面水质为Ⅳ类；</w:t>
            </w:r>
          </w:p>
          <w:p>
            <w:pPr>
              <w:spacing w:line="360" w:lineRule="auto"/>
              <w:ind w:firstLine="480" w:firstLineChars="200"/>
              <w:rPr>
                <w:color w:val="000000"/>
                <w:sz w:val="24"/>
              </w:rPr>
            </w:pPr>
            <w:r>
              <w:rPr>
                <w:color w:val="000000"/>
                <w:sz w:val="24"/>
              </w:rPr>
              <w:t>2021年4月牧马河陈家营国考断面水质为Ⅲ类；</w:t>
            </w:r>
          </w:p>
          <w:p>
            <w:pPr>
              <w:spacing w:line="360" w:lineRule="auto"/>
              <w:ind w:firstLine="480" w:firstLineChars="200"/>
              <w:rPr>
                <w:color w:val="000000"/>
                <w:sz w:val="24"/>
              </w:rPr>
            </w:pPr>
            <w:r>
              <w:rPr>
                <w:color w:val="000000"/>
                <w:sz w:val="24"/>
              </w:rPr>
              <w:t>2021年3月牧马河陈家营国考断面水质为Ⅳ类</w:t>
            </w:r>
          </w:p>
          <w:p>
            <w:pPr>
              <w:spacing w:line="360" w:lineRule="auto"/>
              <w:ind w:firstLine="480" w:firstLineChars="200"/>
              <w:rPr>
                <w:color w:val="000000"/>
                <w:sz w:val="24"/>
              </w:rPr>
            </w:pPr>
            <w:r>
              <w:rPr>
                <w:color w:val="000000"/>
                <w:sz w:val="24"/>
              </w:rPr>
              <w:t>牧马河陈家营国考断面水质均未达水质目标要求。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499" w:type="dxa"/>
            <w:vAlign w:val="center"/>
          </w:tcPr>
          <w:p>
            <w:pPr>
              <w:adjustRightInd w:val="0"/>
              <w:snapToGrid w:val="0"/>
              <w:jc w:val="center"/>
              <w:rPr>
                <w:kern w:val="0"/>
                <w:sz w:val="24"/>
              </w:rPr>
            </w:pPr>
            <w:r>
              <w:rPr>
                <w:kern w:val="0"/>
                <w:sz w:val="24"/>
              </w:rPr>
              <w:t>环境</w:t>
            </w:r>
          </w:p>
          <w:p>
            <w:pPr>
              <w:adjustRightInd w:val="0"/>
              <w:snapToGrid w:val="0"/>
              <w:jc w:val="center"/>
              <w:rPr>
                <w:kern w:val="0"/>
                <w:sz w:val="24"/>
              </w:rPr>
            </w:pPr>
            <w:r>
              <w:rPr>
                <w:kern w:val="0"/>
                <w:sz w:val="24"/>
              </w:rPr>
              <w:t>保护</w:t>
            </w:r>
          </w:p>
          <w:p>
            <w:pPr>
              <w:adjustRightInd w:val="0"/>
              <w:snapToGrid w:val="0"/>
              <w:jc w:val="center"/>
              <w:rPr>
                <w:kern w:val="0"/>
                <w:sz w:val="24"/>
              </w:rPr>
            </w:pPr>
            <w:r>
              <w:rPr>
                <w:kern w:val="0"/>
                <w:sz w:val="24"/>
              </w:rPr>
              <w:t>目标</w:t>
            </w:r>
          </w:p>
        </w:tc>
        <w:tc>
          <w:tcPr>
            <w:tcW w:w="8491" w:type="dxa"/>
            <w:vAlign w:val="center"/>
          </w:tcPr>
          <w:p>
            <w:pPr>
              <w:spacing w:line="360" w:lineRule="auto"/>
              <w:ind w:firstLine="480" w:firstLineChars="200"/>
              <w:rPr>
                <w:sz w:val="24"/>
              </w:rPr>
            </w:pPr>
            <w:r>
              <w:rPr>
                <w:sz w:val="24"/>
              </w:rPr>
              <w:t>根据现场调查，本项目厂界外500m周围内无自然保护区、风景名胜区、居住区、文物古迹等需要保护的大气环境目标，厂界外50m范围内无声环境保护目标，厂界外500m范围内无地下水集中式饮用水水源和热水、矿泉水、温泉等特殊地下水资源，且本项目无生态环境保护目标。</w:t>
            </w:r>
          </w:p>
          <w:p>
            <w:pPr>
              <w:spacing w:line="360" w:lineRule="auto"/>
              <w:jc w:val="center"/>
              <w:rPr>
                <w:b/>
                <w:bCs/>
                <w:szCs w:val="21"/>
              </w:rPr>
            </w:pPr>
            <w:r>
              <w:rPr>
                <w:b/>
                <w:bCs/>
                <w:szCs w:val="21"/>
              </w:rPr>
              <w:t>表</w:t>
            </w:r>
            <w:r>
              <w:rPr>
                <w:rFonts w:hint="eastAsia"/>
                <w:b/>
                <w:bCs/>
                <w:szCs w:val="21"/>
              </w:rPr>
              <w:t>21</w:t>
            </w:r>
            <w:r>
              <w:rPr>
                <w:b/>
                <w:bCs/>
                <w:szCs w:val="21"/>
              </w:rPr>
              <w:t xml:space="preserve">  环境保护目标</w:t>
            </w:r>
          </w:p>
          <w:tbl>
            <w:tblPr>
              <w:tblStyle w:val="1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61"/>
              <w:gridCol w:w="2061"/>
              <w:gridCol w:w="2061"/>
              <w:gridCol w:w="20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61" w:type="dxa"/>
                  <w:shd w:val="clear" w:color="auto" w:fill="auto"/>
                  <w:vAlign w:val="center"/>
                </w:tcPr>
                <w:p>
                  <w:pPr>
                    <w:jc w:val="center"/>
                    <w:rPr>
                      <w:szCs w:val="21"/>
                    </w:rPr>
                  </w:pPr>
                  <w:r>
                    <w:rPr>
                      <w:szCs w:val="21"/>
                    </w:rPr>
                    <w:t>序号</w:t>
                  </w:r>
                </w:p>
              </w:tc>
              <w:tc>
                <w:tcPr>
                  <w:tcW w:w="2061" w:type="dxa"/>
                  <w:shd w:val="clear" w:color="auto" w:fill="auto"/>
                  <w:vAlign w:val="center"/>
                </w:tcPr>
                <w:p>
                  <w:pPr>
                    <w:jc w:val="center"/>
                    <w:rPr>
                      <w:szCs w:val="21"/>
                    </w:rPr>
                  </w:pPr>
                  <w:r>
                    <w:rPr>
                      <w:szCs w:val="21"/>
                    </w:rPr>
                    <w:t>敏感因素</w:t>
                  </w:r>
                </w:p>
              </w:tc>
              <w:tc>
                <w:tcPr>
                  <w:tcW w:w="2061" w:type="dxa"/>
                  <w:shd w:val="clear" w:color="auto" w:fill="auto"/>
                  <w:vAlign w:val="center"/>
                </w:tcPr>
                <w:p>
                  <w:pPr>
                    <w:jc w:val="center"/>
                    <w:rPr>
                      <w:szCs w:val="21"/>
                    </w:rPr>
                  </w:pPr>
                  <w:r>
                    <w:rPr>
                      <w:szCs w:val="21"/>
                    </w:rPr>
                    <w:t>保护范围</w:t>
                  </w:r>
                </w:p>
              </w:tc>
              <w:tc>
                <w:tcPr>
                  <w:tcW w:w="2062" w:type="dxa"/>
                  <w:shd w:val="clear" w:color="auto" w:fill="auto"/>
                  <w:vAlign w:val="center"/>
                </w:tcPr>
                <w:p>
                  <w:pPr>
                    <w:jc w:val="center"/>
                    <w:rPr>
                      <w:szCs w:val="21"/>
                    </w:rPr>
                  </w:pPr>
                  <w:r>
                    <w:rPr>
                      <w:szCs w:val="21"/>
                    </w:rPr>
                    <w:t>保护目标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61" w:type="dxa"/>
                  <w:shd w:val="clear" w:color="auto" w:fill="auto"/>
                  <w:vAlign w:val="center"/>
                </w:tcPr>
                <w:p>
                  <w:pPr>
                    <w:jc w:val="center"/>
                    <w:rPr>
                      <w:szCs w:val="21"/>
                    </w:rPr>
                  </w:pPr>
                  <w:r>
                    <w:rPr>
                      <w:szCs w:val="21"/>
                    </w:rPr>
                    <w:t>1</w:t>
                  </w:r>
                </w:p>
              </w:tc>
              <w:tc>
                <w:tcPr>
                  <w:tcW w:w="2061" w:type="dxa"/>
                  <w:shd w:val="clear" w:color="auto" w:fill="auto"/>
                  <w:vAlign w:val="center"/>
                </w:tcPr>
                <w:p>
                  <w:pPr>
                    <w:jc w:val="center"/>
                    <w:rPr>
                      <w:szCs w:val="21"/>
                    </w:rPr>
                  </w:pPr>
                  <w:r>
                    <w:rPr>
                      <w:szCs w:val="21"/>
                    </w:rPr>
                    <w:t>大气</w:t>
                  </w:r>
                </w:p>
              </w:tc>
              <w:tc>
                <w:tcPr>
                  <w:tcW w:w="2061" w:type="dxa"/>
                  <w:shd w:val="clear" w:color="auto" w:fill="auto"/>
                  <w:vAlign w:val="center"/>
                </w:tcPr>
                <w:p>
                  <w:pPr>
                    <w:jc w:val="center"/>
                    <w:rPr>
                      <w:szCs w:val="21"/>
                    </w:rPr>
                  </w:pPr>
                  <w:r>
                    <w:rPr>
                      <w:szCs w:val="21"/>
                    </w:rPr>
                    <w:t>厂界外500m</w:t>
                  </w:r>
                </w:p>
              </w:tc>
              <w:tc>
                <w:tcPr>
                  <w:tcW w:w="2062" w:type="dxa"/>
                  <w:vMerge w:val="restart"/>
                  <w:shd w:val="clear" w:color="auto" w:fill="auto"/>
                  <w:vAlign w:val="center"/>
                </w:tcPr>
                <w:p>
                  <w:pPr>
                    <w:jc w:val="center"/>
                    <w:rPr>
                      <w:szCs w:val="21"/>
                    </w:rPr>
                  </w:pPr>
                  <w:r>
                    <w:rPr>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61" w:type="dxa"/>
                  <w:shd w:val="clear" w:color="auto" w:fill="auto"/>
                  <w:vAlign w:val="center"/>
                </w:tcPr>
                <w:p>
                  <w:pPr>
                    <w:jc w:val="center"/>
                    <w:rPr>
                      <w:szCs w:val="21"/>
                    </w:rPr>
                  </w:pPr>
                  <w:r>
                    <w:rPr>
                      <w:szCs w:val="21"/>
                    </w:rPr>
                    <w:t>2</w:t>
                  </w:r>
                </w:p>
              </w:tc>
              <w:tc>
                <w:tcPr>
                  <w:tcW w:w="2061" w:type="dxa"/>
                  <w:shd w:val="clear" w:color="auto" w:fill="auto"/>
                  <w:vAlign w:val="center"/>
                </w:tcPr>
                <w:p>
                  <w:pPr>
                    <w:jc w:val="center"/>
                    <w:rPr>
                      <w:szCs w:val="21"/>
                    </w:rPr>
                  </w:pPr>
                  <w:r>
                    <w:rPr>
                      <w:szCs w:val="21"/>
                    </w:rPr>
                    <w:t>声环境</w:t>
                  </w:r>
                </w:p>
              </w:tc>
              <w:tc>
                <w:tcPr>
                  <w:tcW w:w="2061" w:type="dxa"/>
                  <w:shd w:val="clear" w:color="auto" w:fill="auto"/>
                  <w:vAlign w:val="center"/>
                </w:tcPr>
                <w:p>
                  <w:pPr>
                    <w:jc w:val="center"/>
                    <w:rPr>
                      <w:szCs w:val="21"/>
                    </w:rPr>
                  </w:pPr>
                  <w:r>
                    <w:rPr>
                      <w:szCs w:val="21"/>
                    </w:rPr>
                    <w:t>厂界外50m</w:t>
                  </w:r>
                </w:p>
              </w:tc>
              <w:tc>
                <w:tcPr>
                  <w:tcW w:w="2062" w:type="dxa"/>
                  <w:vMerge w:val="continue"/>
                  <w:shd w:val="clear" w:color="auto" w:fill="auto"/>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61" w:type="dxa"/>
                  <w:shd w:val="clear" w:color="auto" w:fill="auto"/>
                  <w:vAlign w:val="center"/>
                </w:tcPr>
                <w:p>
                  <w:pPr>
                    <w:jc w:val="center"/>
                    <w:rPr>
                      <w:szCs w:val="21"/>
                    </w:rPr>
                  </w:pPr>
                  <w:r>
                    <w:rPr>
                      <w:szCs w:val="21"/>
                    </w:rPr>
                    <w:t>3</w:t>
                  </w:r>
                </w:p>
              </w:tc>
              <w:tc>
                <w:tcPr>
                  <w:tcW w:w="2061" w:type="dxa"/>
                  <w:shd w:val="clear" w:color="auto" w:fill="auto"/>
                  <w:vAlign w:val="center"/>
                </w:tcPr>
                <w:p>
                  <w:pPr>
                    <w:jc w:val="center"/>
                    <w:rPr>
                      <w:szCs w:val="21"/>
                    </w:rPr>
                  </w:pPr>
                  <w:r>
                    <w:rPr>
                      <w:szCs w:val="21"/>
                    </w:rPr>
                    <w:t>地下水</w:t>
                  </w:r>
                </w:p>
              </w:tc>
              <w:tc>
                <w:tcPr>
                  <w:tcW w:w="2061" w:type="dxa"/>
                  <w:shd w:val="clear" w:color="auto" w:fill="auto"/>
                  <w:vAlign w:val="center"/>
                </w:tcPr>
                <w:p>
                  <w:pPr>
                    <w:jc w:val="center"/>
                    <w:rPr>
                      <w:szCs w:val="21"/>
                    </w:rPr>
                  </w:pPr>
                  <w:r>
                    <w:rPr>
                      <w:szCs w:val="21"/>
                    </w:rPr>
                    <w:t>厂界外500m</w:t>
                  </w:r>
                </w:p>
              </w:tc>
              <w:tc>
                <w:tcPr>
                  <w:tcW w:w="2062" w:type="dxa"/>
                  <w:vMerge w:val="continue"/>
                  <w:shd w:val="clear" w:color="auto" w:fill="auto"/>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061" w:type="dxa"/>
                  <w:shd w:val="clear" w:color="auto" w:fill="auto"/>
                  <w:vAlign w:val="center"/>
                </w:tcPr>
                <w:p>
                  <w:pPr>
                    <w:jc w:val="center"/>
                    <w:rPr>
                      <w:szCs w:val="21"/>
                    </w:rPr>
                  </w:pPr>
                  <w:r>
                    <w:rPr>
                      <w:szCs w:val="21"/>
                    </w:rPr>
                    <w:t>4</w:t>
                  </w:r>
                </w:p>
              </w:tc>
              <w:tc>
                <w:tcPr>
                  <w:tcW w:w="2061" w:type="dxa"/>
                  <w:shd w:val="clear" w:color="auto" w:fill="auto"/>
                  <w:vAlign w:val="center"/>
                </w:tcPr>
                <w:p>
                  <w:pPr>
                    <w:jc w:val="center"/>
                    <w:rPr>
                      <w:szCs w:val="21"/>
                    </w:rPr>
                  </w:pPr>
                  <w:r>
                    <w:rPr>
                      <w:szCs w:val="21"/>
                    </w:rPr>
                    <w:t>生态</w:t>
                  </w:r>
                </w:p>
              </w:tc>
              <w:tc>
                <w:tcPr>
                  <w:tcW w:w="2061" w:type="dxa"/>
                  <w:shd w:val="clear" w:color="auto" w:fill="auto"/>
                  <w:vAlign w:val="center"/>
                </w:tcPr>
                <w:p>
                  <w:pPr>
                    <w:jc w:val="center"/>
                    <w:rPr>
                      <w:szCs w:val="21"/>
                    </w:rPr>
                  </w:pPr>
                  <w:r>
                    <w:rPr>
                      <w:szCs w:val="21"/>
                    </w:rPr>
                    <w:t>厂界内</w:t>
                  </w:r>
                </w:p>
              </w:tc>
              <w:tc>
                <w:tcPr>
                  <w:tcW w:w="2062" w:type="dxa"/>
                  <w:vMerge w:val="continue"/>
                  <w:shd w:val="clear" w:color="auto" w:fill="auto"/>
                  <w:vAlign w:val="center"/>
                </w:tcPr>
                <w:p>
                  <w:pPr>
                    <w:jc w:val="center"/>
                    <w:rPr>
                      <w:szCs w:val="21"/>
                    </w:rPr>
                  </w:pPr>
                </w:p>
              </w:tc>
            </w:tr>
          </w:tbl>
          <w:p>
            <w:pPr>
              <w:adjustRightInd w:val="0"/>
              <w:snapToGrid w:val="0"/>
              <w:jc w:val="center"/>
              <w:rPr>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499" w:type="dxa"/>
            <w:tcMar>
              <w:left w:w="28" w:type="dxa"/>
              <w:right w:w="28" w:type="dxa"/>
            </w:tcMar>
            <w:vAlign w:val="center"/>
          </w:tcPr>
          <w:p>
            <w:pPr>
              <w:adjustRightInd w:val="0"/>
              <w:snapToGrid w:val="0"/>
              <w:jc w:val="center"/>
              <w:rPr>
                <w:kern w:val="0"/>
                <w:sz w:val="24"/>
              </w:rPr>
            </w:pPr>
            <w:r>
              <w:rPr>
                <w:kern w:val="0"/>
                <w:sz w:val="24"/>
              </w:rPr>
              <w:t>污染</w:t>
            </w:r>
          </w:p>
          <w:p>
            <w:pPr>
              <w:adjustRightInd w:val="0"/>
              <w:snapToGrid w:val="0"/>
              <w:jc w:val="center"/>
              <w:rPr>
                <w:kern w:val="0"/>
                <w:sz w:val="24"/>
              </w:rPr>
            </w:pPr>
            <w:r>
              <w:rPr>
                <w:kern w:val="0"/>
                <w:sz w:val="24"/>
              </w:rPr>
              <w:t>物排</w:t>
            </w:r>
          </w:p>
          <w:p>
            <w:pPr>
              <w:adjustRightInd w:val="0"/>
              <w:snapToGrid w:val="0"/>
              <w:jc w:val="center"/>
              <w:rPr>
                <w:kern w:val="0"/>
                <w:sz w:val="24"/>
              </w:rPr>
            </w:pPr>
            <w:r>
              <w:rPr>
                <w:kern w:val="0"/>
                <w:sz w:val="24"/>
              </w:rPr>
              <w:t>放控</w:t>
            </w:r>
          </w:p>
          <w:p>
            <w:pPr>
              <w:adjustRightInd w:val="0"/>
              <w:snapToGrid w:val="0"/>
              <w:jc w:val="center"/>
              <w:rPr>
                <w:kern w:val="0"/>
                <w:sz w:val="24"/>
              </w:rPr>
            </w:pPr>
            <w:r>
              <w:rPr>
                <w:kern w:val="0"/>
                <w:sz w:val="24"/>
              </w:rPr>
              <w:t>制标</w:t>
            </w:r>
          </w:p>
          <w:p>
            <w:pPr>
              <w:adjustRightInd w:val="0"/>
              <w:snapToGrid w:val="0"/>
              <w:jc w:val="center"/>
              <w:rPr>
                <w:kern w:val="0"/>
                <w:sz w:val="24"/>
              </w:rPr>
            </w:pPr>
            <w:r>
              <w:rPr>
                <w:kern w:val="0"/>
                <w:sz w:val="24"/>
              </w:rPr>
              <w:t>准</w:t>
            </w:r>
          </w:p>
        </w:tc>
        <w:tc>
          <w:tcPr>
            <w:tcW w:w="8491" w:type="dxa"/>
            <w:vAlign w:val="center"/>
          </w:tcPr>
          <w:p>
            <w:pPr>
              <w:spacing w:line="360" w:lineRule="auto"/>
              <w:ind w:firstLine="482" w:firstLineChars="200"/>
              <w:rPr>
                <w:b/>
                <w:bCs/>
                <w:sz w:val="24"/>
              </w:rPr>
            </w:pPr>
            <w:r>
              <w:rPr>
                <w:b/>
                <w:bCs/>
                <w:sz w:val="24"/>
              </w:rPr>
              <w:t>1、大气</w:t>
            </w:r>
          </w:p>
          <w:p>
            <w:pPr>
              <w:spacing w:line="360" w:lineRule="auto"/>
              <w:ind w:firstLine="480" w:firstLineChars="200"/>
              <w:rPr>
                <w:sz w:val="24"/>
              </w:rPr>
            </w:pPr>
            <w:r>
              <w:rPr>
                <w:kern w:val="0"/>
                <w:sz w:val="24"/>
              </w:rPr>
              <w:t>本项目</w:t>
            </w:r>
            <w:r>
              <w:rPr>
                <w:sz w:val="24"/>
              </w:rPr>
              <w:t>天然气加热炉产生的烟尘、SO</w:t>
            </w:r>
            <w:r>
              <w:rPr>
                <w:sz w:val="24"/>
                <w:vertAlign w:val="subscript"/>
              </w:rPr>
              <w:t>2</w:t>
            </w:r>
            <w:r>
              <w:rPr>
                <w:sz w:val="24"/>
              </w:rPr>
              <w:t>、NO</w:t>
            </w:r>
            <w:r>
              <w:rPr>
                <w:sz w:val="24"/>
                <w:vertAlign w:val="subscript"/>
              </w:rPr>
              <w:t>X</w:t>
            </w:r>
            <w:r>
              <w:rPr>
                <w:sz w:val="24"/>
              </w:rPr>
              <w:t>执行《山西省工业炉窑大气污染综合治理实施方案》（晋环大气〔2019〕164号）中规定的颗粒物、SO</w:t>
            </w:r>
            <w:r>
              <w:rPr>
                <w:sz w:val="24"/>
                <w:vertAlign w:val="subscript"/>
              </w:rPr>
              <w:t>2</w:t>
            </w:r>
            <w:r>
              <w:rPr>
                <w:sz w:val="24"/>
              </w:rPr>
              <w:t>、NO</w:t>
            </w:r>
            <w:r>
              <w:rPr>
                <w:sz w:val="24"/>
                <w:vertAlign w:val="subscript"/>
              </w:rPr>
              <w:t>X</w:t>
            </w:r>
            <w:r>
              <w:rPr>
                <w:sz w:val="24"/>
              </w:rPr>
              <w:t>排放限值分别不高于30mg/m</w:t>
            </w:r>
            <w:r>
              <w:rPr>
                <w:sz w:val="24"/>
                <w:vertAlign w:val="superscript"/>
              </w:rPr>
              <w:t>3</w:t>
            </w:r>
            <w:r>
              <w:rPr>
                <w:sz w:val="24"/>
              </w:rPr>
              <w:t>、200mg/m</w:t>
            </w:r>
            <w:r>
              <w:rPr>
                <w:sz w:val="24"/>
                <w:vertAlign w:val="superscript"/>
              </w:rPr>
              <w:t>3</w:t>
            </w:r>
            <w:r>
              <w:rPr>
                <w:sz w:val="24"/>
              </w:rPr>
              <w:t>、300mg/m</w:t>
            </w:r>
            <w:r>
              <w:rPr>
                <w:sz w:val="24"/>
                <w:vertAlign w:val="superscript"/>
              </w:rPr>
              <w:t>3</w:t>
            </w:r>
            <w:r>
              <w:rPr>
                <w:kern w:val="0"/>
                <w:sz w:val="24"/>
              </w:rPr>
              <w:t>，</w:t>
            </w:r>
            <w:r>
              <w:rPr>
                <w:sz w:val="24"/>
              </w:rPr>
              <w:t>见下表：</w:t>
            </w:r>
          </w:p>
          <w:p>
            <w:pPr>
              <w:spacing w:line="360" w:lineRule="auto"/>
              <w:ind w:firstLine="200"/>
              <w:jc w:val="center"/>
              <w:rPr>
                <w:b/>
              </w:rPr>
            </w:pPr>
            <w:r>
              <w:rPr>
                <w:b/>
              </w:rPr>
              <w:t>表2</w:t>
            </w:r>
            <w:r>
              <w:rPr>
                <w:rFonts w:hint="eastAsia"/>
                <w:b/>
              </w:rPr>
              <w:t>2</w:t>
            </w:r>
            <w:r>
              <w:rPr>
                <w:b/>
              </w:rPr>
              <w:t xml:space="preserve">  大气污染物排放限值（单位：mg/m</w:t>
            </w:r>
            <w:r>
              <w:rPr>
                <w:b/>
                <w:vertAlign w:val="superscript"/>
              </w:rPr>
              <w:t>3</w:t>
            </w:r>
            <w:r>
              <w:rPr>
                <w:b/>
              </w:rPr>
              <w:t>）</w:t>
            </w:r>
          </w:p>
          <w:tbl>
            <w:tblPr>
              <w:tblStyle w:val="1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41"/>
              <w:gridCol w:w="3342"/>
              <w:gridCol w:w="28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2220" w:type="dxa"/>
                  <w:vAlign w:val="center"/>
                </w:tcPr>
                <w:p>
                  <w:pPr>
                    <w:pStyle w:val="28"/>
                    <w:spacing w:line="240" w:lineRule="auto"/>
                    <w:rPr>
                      <w:rFonts w:ascii="Times New Roman" w:hAnsi="Times New Roman" w:cs="Times New Roman"/>
                      <w:b/>
                      <w:bCs/>
                      <w:sz w:val="21"/>
                      <w:szCs w:val="21"/>
                    </w:rPr>
                  </w:pPr>
                  <w:r>
                    <w:rPr>
                      <w:rFonts w:ascii="Times New Roman" w:hAnsi="Times New Roman" w:cs="Times New Roman"/>
                      <w:b/>
                      <w:bCs/>
                      <w:sz w:val="21"/>
                      <w:szCs w:val="21"/>
                    </w:rPr>
                    <w:t>生产设备</w:t>
                  </w:r>
                </w:p>
              </w:tc>
              <w:tc>
                <w:tcPr>
                  <w:tcW w:w="3617" w:type="dxa"/>
                  <w:vAlign w:val="center"/>
                </w:tcPr>
                <w:p>
                  <w:pPr>
                    <w:pStyle w:val="28"/>
                    <w:spacing w:line="240" w:lineRule="auto"/>
                    <w:rPr>
                      <w:rFonts w:ascii="Times New Roman" w:hAnsi="Times New Roman" w:cs="Times New Roman"/>
                      <w:b/>
                      <w:bCs/>
                      <w:sz w:val="21"/>
                      <w:szCs w:val="21"/>
                    </w:rPr>
                  </w:pPr>
                  <w:r>
                    <w:rPr>
                      <w:rFonts w:ascii="Times New Roman" w:hAnsi="Times New Roman" w:cs="Times New Roman"/>
                      <w:b/>
                      <w:bCs/>
                      <w:sz w:val="21"/>
                      <w:szCs w:val="21"/>
                    </w:rPr>
                    <w:t>污染物</w:t>
                  </w:r>
                </w:p>
              </w:tc>
              <w:tc>
                <w:tcPr>
                  <w:tcW w:w="3119" w:type="dxa"/>
                  <w:vAlign w:val="center"/>
                </w:tcPr>
                <w:p>
                  <w:pPr>
                    <w:pStyle w:val="28"/>
                    <w:spacing w:line="240" w:lineRule="auto"/>
                    <w:rPr>
                      <w:rFonts w:ascii="Times New Roman" w:hAnsi="Times New Roman" w:cs="Times New Roman"/>
                      <w:b/>
                      <w:bCs/>
                      <w:sz w:val="21"/>
                      <w:szCs w:val="21"/>
                    </w:rPr>
                  </w:pPr>
                  <w:r>
                    <w:rPr>
                      <w:rFonts w:ascii="Times New Roman" w:hAnsi="Times New Roman" w:cs="Times New Roman"/>
                      <w:b/>
                      <w:bCs/>
                      <w:sz w:val="21"/>
                      <w:szCs w:val="21"/>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2220" w:type="dxa"/>
                  <w:vMerge w:val="restart"/>
                  <w:vAlign w:val="center"/>
                </w:tcPr>
                <w:p>
                  <w:pPr>
                    <w:pStyle w:val="28"/>
                    <w:spacing w:line="240" w:lineRule="auto"/>
                    <w:rPr>
                      <w:rFonts w:ascii="Times New Roman" w:hAnsi="Times New Roman" w:cs="Times New Roman"/>
                      <w:sz w:val="21"/>
                      <w:szCs w:val="21"/>
                    </w:rPr>
                  </w:pPr>
                  <w:r>
                    <w:rPr>
                      <w:rFonts w:ascii="Times New Roman" w:hAnsi="Times New Roman" w:cs="Times New Roman"/>
                      <w:sz w:val="21"/>
                      <w:szCs w:val="21"/>
                    </w:rPr>
                    <w:t>天然气加热炉</w:t>
                  </w:r>
                </w:p>
              </w:tc>
              <w:tc>
                <w:tcPr>
                  <w:tcW w:w="3617" w:type="dxa"/>
                  <w:vAlign w:val="center"/>
                </w:tcPr>
                <w:p>
                  <w:pPr>
                    <w:pStyle w:val="28"/>
                    <w:spacing w:line="240" w:lineRule="auto"/>
                    <w:rPr>
                      <w:rFonts w:ascii="Times New Roman" w:hAnsi="Times New Roman" w:cs="Times New Roman"/>
                      <w:sz w:val="21"/>
                      <w:szCs w:val="21"/>
                    </w:rPr>
                  </w:pPr>
                  <w:r>
                    <w:rPr>
                      <w:rFonts w:ascii="Times New Roman" w:hAnsi="Times New Roman" w:cs="Times New Roman"/>
                      <w:sz w:val="21"/>
                      <w:szCs w:val="21"/>
                    </w:rPr>
                    <w:t>烟（粉）尘</w:t>
                  </w:r>
                </w:p>
              </w:tc>
              <w:tc>
                <w:tcPr>
                  <w:tcW w:w="3119" w:type="dxa"/>
                  <w:vAlign w:val="center"/>
                </w:tcPr>
                <w:p>
                  <w:pPr>
                    <w:pStyle w:val="28"/>
                    <w:spacing w:line="240" w:lineRule="auto"/>
                    <w:rPr>
                      <w:rFonts w:ascii="Times New Roman" w:hAnsi="Times New Roman" w:cs="Times New Roman"/>
                      <w:sz w:val="21"/>
                      <w:szCs w:val="21"/>
                    </w:rPr>
                  </w:pPr>
                  <w:r>
                    <w:rPr>
                      <w:rFonts w:ascii="Times New Roman" w:hAnsi="Times New Roman" w:cs="Times New Roman"/>
                      <w:sz w:val="21"/>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2220" w:type="dxa"/>
                  <w:vMerge w:val="continue"/>
                  <w:vAlign w:val="center"/>
                </w:tcPr>
                <w:p>
                  <w:pPr>
                    <w:pStyle w:val="28"/>
                    <w:spacing w:line="240" w:lineRule="auto"/>
                    <w:rPr>
                      <w:rFonts w:ascii="Times New Roman" w:hAnsi="Times New Roman" w:cs="Times New Roman"/>
                      <w:b/>
                      <w:bCs/>
                      <w:sz w:val="21"/>
                      <w:szCs w:val="21"/>
                    </w:rPr>
                  </w:pPr>
                </w:p>
              </w:tc>
              <w:tc>
                <w:tcPr>
                  <w:tcW w:w="3617" w:type="dxa"/>
                  <w:vAlign w:val="center"/>
                </w:tcPr>
                <w:p>
                  <w:pPr>
                    <w:pStyle w:val="28"/>
                    <w:spacing w:line="240" w:lineRule="auto"/>
                    <w:rPr>
                      <w:rFonts w:ascii="Times New Roman" w:hAnsi="Times New Roman" w:cs="Times New Roman"/>
                      <w:sz w:val="21"/>
                      <w:szCs w:val="21"/>
                    </w:rPr>
                  </w:pPr>
                  <w:r>
                    <w:rPr>
                      <w:rFonts w:ascii="Times New Roman" w:hAnsi="Times New Roman" w:cs="Times New Roman"/>
                      <w:sz w:val="21"/>
                      <w:szCs w:val="21"/>
                    </w:rPr>
                    <w:t>SO</w:t>
                  </w:r>
                  <w:r>
                    <w:rPr>
                      <w:rFonts w:ascii="Times New Roman" w:hAnsi="Times New Roman" w:cs="Times New Roman"/>
                      <w:sz w:val="21"/>
                      <w:szCs w:val="21"/>
                      <w:vertAlign w:val="subscript"/>
                    </w:rPr>
                    <w:t>2</w:t>
                  </w:r>
                </w:p>
              </w:tc>
              <w:tc>
                <w:tcPr>
                  <w:tcW w:w="3119" w:type="dxa"/>
                  <w:vAlign w:val="center"/>
                </w:tcPr>
                <w:p>
                  <w:pPr>
                    <w:pStyle w:val="28"/>
                    <w:spacing w:line="240" w:lineRule="auto"/>
                    <w:rPr>
                      <w:rFonts w:ascii="Times New Roman" w:hAnsi="Times New Roman" w:cs="Times New Roman"/>
                      <w:sz w:val="21"/>
                      <w:szCs w:val="21"/>
                    </w:rPr>
                  </w:pPr>
                  <w:r>
                    <w:rPr>
                      <w:rFonts w:ascii="Times New Roman" w:hAnsi="Times New Roman" w:cs="Times New Roman"/>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2220" w:type="dxa"/>
                  <w:vMerge w:val="continue"/>
                  <w:vAlign w:val="center"/>
                </w:tcPr>
                <w:p>
                  <w:pPr>
                    <w:pStyle w:val="28"/>
                    <w:spacing w:line="240" w:lineRule="auto"/>
                    <w:rPr>
                      <w:rFonts w:ascii="Times New Roman" w:hAnsi="Times New Roman" w:cs="Times New Roman"/>
                      <w:b/>
                      <w:bCs/>
                      <w:sz w:val="21"/>
                      <w:szCs w:val="21"/>
                    </w:rPr>
                  </w:pPr>
                </w:p>
              </w:tc>
              <w:tc>
                <w:tcPr>
                  <w:tcW w:w="3617" w:type="dxa"/>
                  <w:vAlign w:val="center"/>
                </w:tcPr>
                <w:p>
                  <w:pPr>
                    <w:pStyle w:val="28"/>
                    <w:spacing w:line="240" w:lineRule="auto"/>
                    <w:rPr>
                      <w:rFonts w:ascii="Times New Roman" w:hAnsi="Times New Roman" w:cs="Times New Roman"/>
                      <w:sz w:val="21"/>
                      <w:szCs w:val="21"/>
                    </w:rPr>
                  </w:pPr>
                  <w:r>
                    <w:rPr>
                      <w:rFonts w:ascii="Times New Roman" w:hAnsi="Times New Roman" w:cs="Times New Roman"/>
                      <w:sz w:val="21"/>
                      <w:szCs w:val="21"/>
                    </w:rPr>
                    <w:t>NO</w:t>
                  </w:r>
                  <w:r>
                    <w:rPr>
                      <w:rFonts w:ascii="Times New Roman" w:hAnsi="Times New Roman" w:cs="Times New Roman"/>
                      <w:sz w:val="21"/>
                      <w:szCs w:val="21"/>
                      <w:vertAlign w:val="subscript"/>
                    </w:rPr>
                    <w:t>X</w:t>
                  </w:r>
                </w:p>
              </w:tc>
              <w:tc>
                <w:tcPr>
                  <w:tcW w:w="3119" w:type="dxa"/>
                  <w:vAlign w:val="center"/>
                </w:tcPr>
                <w:p>
                  <w:pPr>
                    <w:pStyle w:val="28"/>
                    <w:spacing w:line="240" w:lineRule="auto"/>
                    <w:rPr>
                      <w:rFonts w:ascii="Times New Roman" w:hAnsi="Times New Roman" w:cs="Times New Roman"/>
                      <w:sz w:val="21"/>
                      <w:szCs w:val="21"/>
                    </w:rPr>
                  </w:pPr>
                  <w:r>
                    <w:rPr>
                      <w:rFonts w:ascii="Times New Roman" w:hAnsi="Times New Roman" w:cs="Times New Roman"/>
                      <w:sz w:val="21"/>
                      <w:szCs w:val="21"/>
                    </w:rPr>
                    <w:t>300</w:t>
                  </w:r>
                </w:p>
              </w:tc>
            </w:tr>
          </w:tbl>
          <w:p>
            <w:pPr>
              <w:spacing w:line="360" w:lineRule="auto"/>
              <w:ind w:firstLine="482" w:firstLineChars="200"/>
              <w:rPr>
                <w:b/>
                <w:sz w:val="24"/>
              </w:rPr>
            </w:pPr>
            <w:r>
              <w:rPr>
                <w:b/>
                <w:sz w:val="24"/>
              </w:rPr>
              <w:t>2、噪声</w:t>
            </w:r>
          </w:p>
          <w:p>
            <w:pPr>
              <w:snapToGrid w:val="0"/>
              <w:spacing w:line="360" w:lineRule="auto"/>
              <w:ind w:firstLine="480" w:firstLineChars="200"/>
              <w:rPr>
                <w:sz w:val="24"/>
              </w:rPr>
            </w:pPr>
            <w:r>
              <w:rPr>
                <w:sz w:val="24"/>
              </w:rPr>
              <w:t>项目施工期执行《建筑施工场界环境噪声排放标准》（GB12523-2011），运营期</w:t>
            </w:r>
            <w:r>
              <w:rPr>
                <w:bCs/>
                <w:sz w:val="24"/>
              </w:rPr>
              <w:t>执行</w:t>
            </w:r>
            <w:r>
              <w:rPr>
                <w:sz w:val="24"/>
              </w:rPr>
              <w:t>《工业企业厂界环境噪声排放标准》（GB12348-2008）</w:t>
            </w:r>
            <w:r>
              <w:rPr>
                <w:bCs/>
                <w:sz w:val="24"/>
              </w:rPr>
              <w:t>中2类标准</w:t>
            </w:r>
            <w:r>
              <w:rPr>
                <w:sz w:val="24"/>
              </w:rPr>
              <w:t>。</w:t>
            </w:r>
          </w:p>
          <w:p>
            <w:pPr>
              <w:snapToGrid w:val="0"/>
              <w:ind w:firstLine="198"/>
              <w:jc w:val="center"/>
              <w:rPr>
                <w:b/>
              </w:rPr>
            </w:pPr>
            <w:r>
              <w:rPr>
                <w:b/>
              </w:rPr>
              <w:t>表2</w:t>
            </w:r>
            <w:r>
              <w:rPr>
                <w:rFonts w:hint="eastAsia"/>
                <w:b/>
              </w:rPr>
              <w:t>3</w:t>
            </w:r>
            <w:r>
              <w:rPr>
                <w:b/>
              </w:rPr>
              <w:t xml:space="preserve"> 噪声排放标准值一览表单位：dB（A）</w:t>
            </w:r>
          </w:p>
          <w:tbl>
            <w:tblPr>
              <w:tblStyle w:val="12"/>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054"/>
              <w:gridCol w:w="2096"/>
              <w:gridCol w:w="20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2459" w:type="pct"/>
                  <w:vMerge w:val="restart"/>
                  <w:vAlign w:val="center"/>
                </w:tcPr>
                <w:p>
                  <w:pPr>
                    <w:snapToGrid w:val="0"/>
                    <w:ind w:firstLine="198"/>
                    <w:jc w:val="center"/>
                    <w:rPr>
                      <w:spacing w:val="4"/>
                    </w:rPr>
                  </w:pPr>
                  <w:r>
                    <w:rPr>
                      <w:spacing w:val="4"/>
                    </w:rPr>
                    <w:t>《建筑施工场界环境噪声排放标准》（</w:t>
                  </w:r>
                  <w:r>
                    <w:t>GB12523-2011</w:t>
                  </w:r>
                  <w:r>
                    <w:rPr>
                      <w:spacing w:val="4"/>
                    </w:rPr>
                    <w:t>）</w:t>
                  </w:r>
                </w:p>
              </w:tc>
              <w:tc>
                <w:tcPr>
                  <w:tcW w:w="1271" w:type="pct"/>
                  <w:vAlign w:val="center"/>
                </w:tcPr>
                <w:p>
                  <w:pPr>
                    <w:snapToGrid w:val="0"/>
                    <w:ind w:firstLine="198"/>
                    <w:jc w:val="center"/>
                    <w:rPr>
                      <w:spacing w:val="4"/>
                    </w:rPr>
                  </w:pPr>
                  <w:r>
                    <w:rPr>
                      <w:spacing w:val="4"/>
                    </w:rPr>
                    <w:t>昼间</w:t>
                  </w:r>
                </w:p>
              </w:tc>
              <w:tc>
                <w:tcPr>
                  <w:tcW w:w="1269" w:type="pct"/>
                  <w:vAlign w:val="center"/>
                </w:tcPr>
                <w:p>
                  <w:pPr>
                    <w:snapToGrid w:val="0"/>
                    <w:ind w:firstLine="198"/>
                    <w:jc w:val="center"/>
                    <w:rPr>
                      <w:spacing w:val="4"/>
                    </w:rPr>
                  </w:pPr>
                  <w:r>
                    <w:rPr>
                      <w:spacing w:val="4"/>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462" w:type="dxa"/>
                  <w:vMerge w:val="continue"/>
                  <w:vAlign w:val="center"/>
                </w:tcPr>
                <w:p>
                  <w:pPr>
                    <w:widowControl/>
                    <w:ind w:firstLine="198"/>
                    <w:jc w:val="center"/>
                    <w:rPr>
                      <w:spacing w:val="4"/>
                    </w:rPr>
                  </w:pPr>
                </w:p>
              </w:tc>
              <w:tc>
                <w:tcPr>
                  <w:tcW w:w="1271" w:type="pct"/>
                  <w:vAlign w:val="center"/>
                </w:tcPr>
                <w:p>
                  <w:pPr>
                    <w:snapToGrid w:val="0"/>
                    <w:ind w:firstLine="198"/>
                    <w:jc w:val="center"/>
                    <w:rPr>
                      <w:spacing w:val="4"/>
                    </w:rPr>
                  </w:pPr>
                  <w:r>
                    <w:rPr>
                      <w:spacing w:val="4"/>
                    </w:rPr>
                    <w:t>70</w:t>
                  </w:r>
                </w:p>
              </w:tc>
              <w:tc>
                <w:tcPr>
                  <w:tcW w:w="1269" w:type="pct"/>
                  <w:vAlign w:val="center"/>
                </w:tcPr>
                <w:p>
                  <w:pPr>
                    <w:snapToGrid w:val="0"/>
                    <w:ind w:firstLine="198"/>
                    <w:jc w:val="center"/>
                    <w:rPr>
                      <w:spacing w:val="4"/>
                    </w:rPr>
                  </w:pPr>
                  <w:r>
                    <w:rPr>
                      <w:spacing w:val="4"/>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2459" w:type="pct"/>
                  <w:vMerge w:val="restart"/>
                  <w:vAlign w:val="center"/>
                </w:tcPr>
                <w:p>
                  <w:pPr>
                    <w:snapToGrid w:val="0"/>
                    <w:ind w:firstLine="198"/>
                    <w:jc w:val="center"/>
                    <w:rPr>
                      <w:spacing w:val="4"/>
                    </w:rPr>
                  </w:pPr>
                  <w:r>
                    <w:rPr>
                      <w:spacing w:val="4"/>
                    </w:rPr>
                    <w:t>《工业企业厂界环境噪声排放标准》（GB12348-2008）2类标准</w:t>
                  </w:r>
                </w:p>
              </w:tc>
              <w:tc>
                <w:tcPr>
                  <w:tcW w:w="1271" w:type="pct"/>
                  <w:vAlign w:val="center"/>
                </w:tcPr>
                <w:p>
                  <w:pPr>
                    <w:snapToGrid w:val="0"/>
                    <w:ind w:firstLine="198"/>
                    <w:jc w:val="center"/>
                    <w:rPr>
                      <w:spacing w:val="4"/>
                    </w:rPr>
                  </w:pPr>
                  <w:r>
                    <w:rPr>
                      <w:spacing w:val="4"/>
                    </w:rPr>
                    <w:t>昼间</w:t>
                  </w:r>
                </w:p>
              </w:tc>
              <w:tc>
                <w:tcPr>
                  <w:tcW w:w="1269" w:type="pct"/>
                  <w:vAlign w:val="center"/>
                </w:tcPr>
                <w:p>
                  <w:pPr>
                    <w:snapToGrid w:val="0"/>
                    <w:ind w:firstLine="198"/>
                    <w:jc w:val="center"/>
                    <w:rPr>
                      <w:spacing w:val="4"/>
                    </w:rPr>
                  </w:pPr>
                  <w:r>
                    <w:rPr>
                      <w:spacing w:val="4"/>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462" w:type="dxa"/>
                  <w:vMerge w:val="continue"/>
                  <w:vAlign w:val="center"/>
                </w:tcPr>
                <w:p>
                  <w:pPr>
                    <w:widowControl/>
                    <w:ind w:firstLine="198"/>
                    <w:jc w:val="center"/>
                    <w:rPr>
                      <w:spacing w:val="4"/>
                    </w:rPr>
                  </w:pPr>
                </w:p>
              </w:tc>
              <w:tc>
                <w:tcPr>
                  <w:tcW w:w="1271" w:type="pct"/>
                  <w:vAlign w:val="center"/>
                </w:tcPr>
                <w:p>
                  <w:pPr>
                    <w:snapToGrid w:val="0"/>
                    <w:ind w:firstLine="198"/>
                    <w:jc w:val="center"/>
                    <w:rPr>
                      <w:spacing w:val="4"/>
                    </w:rPr>
                  </w:pPr>
                  <w:r>
                    <w:rPr>
                      <w:spacing w:val="4"/>
                    </w:rPr>
                    <w:t>60</w:t>
                  </w:r>
                </w:p>
              </w:tc>
              <w:tc>
                <w:tcPr>
                  <w:tcW w:w="1269" w:type="pct"/>
                  <w:vAlign w:val="center"/>
                </w:tcPr>
                <w:p>
                  <w:pPr>
                    <w:snapToGrid w:val="0"/>
                    <w:ind w:firstLine="198"/>
                    <w:jc w:val="center"/>
                    <w:rPr>
                      <w:spacing w:val="4"/>
                    </w:rPr>
                  </w:pPr>
                  <w:r>
                    <w:rPr>
                      <w:spacing w:val="4"/>
                    </w:rPr>
                    <w:t>50</w:t>
                  </w:r>
                </w:p>
              </w:tc>
            </w:tr>
          </w:tbl>
          <w:p>
            <w:pPr>
              <w:snapToGrid w:val="0"/>
              <w:spacing w:before="120" w:beforeLines="50" w:line="360" w:lineRule="auto"/>
              <w:ind w:firstLine="482" w:firstLineChars="200"/>
              <w:rPr>
                <w:b/>
                <w:sz w:val="24"/>
              </w:rPr>
            </w:pPr>
            <w:r>
              <w:rPr>
                <w:b/>
                <w:sz w:val="24"/>
              </w:rPr>
              <w:t>3、固体废物</w:t>
            </w:r>
          </w:p>
          <w:p>
            <w:pPr>
              <w:snapToGrid w:val="0"/>
              <w:spacing w:line="360" w:lineRule="auto"/>
              <w:ind w:firstLine="480" w:firstLineChars="200"/>
              <w:rPr>
                <w:bCs/>
                <w:sz w:val="24"/>
              </w:rPr>
            </w:pPr>
            <w:r>
              <w:rPr>
                <w:bCs/>
                <w:sz w:val="24"/>
              </w:rPr>
              <w:t>一般固体废弃物处置执行《一般工业固体废物贮存和填埋污染控制标准》（GB18599-2020）。</w:t>
            </w:r>
          </w:p>
          <w:p>
            <w:pPr>
              <w:snapToGrid w:val="0"/>
              <w:spacing w:line="360" w:lineRule="auto"/>
              <w:ind w:firstLine="480" w:firstLineChars="200"/>
              <w:rPr>
                <w:bCs/>
                <w:sz w:val="24"/>
              </w:rPr>
            </w:pPr>
            <w:r>
              <w:rPr>
                <w:bCs/>
                <w:sz w:val="24"/>
              </w:rPr>
              <w:t>废机油等危险废物暂存执行《危险废物贮存污染控制标准》（GB18597-2001）及其修改单中的相关内容。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20" w:hRule="atLeast"/>
          <w:jc w:val="center"/>
        </w:trPr>
        <w:tc>
          <w:tcPr>
            <w:tcW w:w="499" w:type="dxa"/>
            <w:vAlign w:val="center"/>
          </w:tcPr>
          <w:p>
            <w:pPr>
              <w:adjustRightInd w:val="0"/>
              <w:snapToGrid w:val="0"/>
              <w:jc w:val="center"/>
              <w:rPr>
                <w:kern w:val="0"/>
                <w:sz w:val="24"/>
              </w:rPr>
            </w:pPr>
            <w:r>
              <w:rPr>
                <w:kern w:val="0"/>
                <w:sz w:val="24"/>
              </w:rPr>
              <w:t>总量</w:t>
            </w:r>
          </w:p>
          <w:p>
            <w:pPr>
              <w:adjustRightInd w:val="0"/>
              <w:snapToGrid w:val="0"/>
              <w:jc w:val="center"/>
              <w:rPr>
                <w:kern w:val="0"/>
                <w:sz w:val="24"/>
              </w:rPr>
            </w:pPr>
            <w:r>
              <w:rPr>
                <w:kern w:val="0"/>
                <w:sz w:val="24"/>
              </w:rPr>
              <w:t>控制</w:t>
            </w:r>
          </w:p>
          <w:p>
            <w:pPr>
              <w:adjustRightInd w:val="0"/>
              <w:snapToGrid w:val="0"/>
              <w:jc w:val="center"/>
              <w:rPr>
                <w:kern w:val="0"/>
                <w:sz w:val="24"/>
              </w:rPr>
            </w:pPr>
            <w:r>
              <w:rPr>
                <w:kern w:val="0"/>
                <w:sz w:val="24"/>
              </w:rPr>
              <w:t>指标</w:t>
            </w:r>
          </w:p>
        </w:tc>
        <w:tc>
          <w:tcPr>
            <w:tcW w:w="8491" w:type="dxa"/>
            <w:vAlign w:val="center"/>
          </w:tcPr>
          <w:p>
            <w:pPr>
              <w:spacing w:line="360" w:lineRule="auto"/>
              <w:ind w:firstLine="472" w:firstLineChars="197"/>
              <w:rPr>
                <w:rFonts w:eastAsiaTheme="minorEastAsia"/>
                <w:sz w:val="24"/>
                <w:szCs w:val="32"/>
              </w:rPr>
            </w:pPr>
            <w:r>
              <w:rPr>
                <w:rFonts w:eastAsiaTheme="minorEastAsia"/>
                <w:sz w:val="24"/>
                <w:szCs w:val="32"/>
              </w:rPr>
              <w:t>根据山西省环保厅“关于印发《山西省环境保护厅建设项目主要污染物排放总量核定办法》的通知”（晋环发[2015]25号），其中第三条“属于环境统计重点工业源调查行业范围内（《国民经济行业分类》（GB/T4754）中采矿业、制造业，电力、燃气及水的生产和供应业，3个门类39个行业）新增主要污染物排放总量的建设项目，在环境影响评价文件审批前，建设单位需按本办法规定取得主要污染物排放总量指标。</w:t>
            </w:r>
          </w:p>
          <w:p>
            <w:pPr>
              <w:spacing w:line="360" w:lineRule="auto"/>
              <w:ind w:firstLine="472" w:firstLineChars="197"/>
              <w:rPr>
                <w:rFonts w:eastAsiaTheme="minorEastAsia"/>
                <w:sz w:val="24"/>
                <w:szCs w:val="32"/>
              </w:rPr>
            </w:pPr>
            <w:r>
              <w:rPr>
                <w:rFonts w:eastAsiaTheme="minorEastAsia"/>
                <w:sz w:val="24"/>
                <w:szCs w:val="32"/>
              </w:rPr>
              <w:t>山西省实施总量控制的主要污染物包括：COD（化学需氧量）、氨氮、二氧化硫、氮氧化物、烟尘及工业粉尘。</w:t>
            </w:r>
          </w:p>
          <w:p>
            <w:pPr>
              <w:spacing w:line="360" w:lineRule="auto"/>
              <w:ind w:firstLine="472" w:firstLineChars="197"/>
              <w:rPr>
                <w:rFonts w:eastAsiaTheme="minorEastAsia"/>
                <w:sz w:val="24"/>
                <w:szCs w:val="32"/>
              </w:rPr>
            </w:pPr>
            <w:r>
              <w:rPr>
                <w:rFonts w:eastAsiaTheme="minorEastAsia"/>
                <w:sz w:val="24"/>
                <w:szCs w:val="32"/>
              </w:rPr>
              <w:t>本工程需要申请的污染物总量为烟尘：0.0</w:t>
            </w:r>
            <w:r>
              <w:rPr>
                <w:rFonts w:hint="eastAsia" w:eastAsiaTheme="minorEastAsia"/>
                <w:sz w:val="24"/>
                <w:szCs w:val="32"/>
              </w:rPr>
              <w:t>78</w:t>
            </w:r>
            <w:r>
              <w:rPr>
                <w:rFonts w:eastAsiaTheme="minorEastAsia"/>
                <w:sz w:val="24"/>
                <w:szCs w:val="32"/>
              </w:rPr>
              <w:t>t/a、SO</w:t>
            </w:r>
            <w:r>
              <w:rPr>
                <w:rFonts w:eastAsiaTheme="minorEastAsia"/>
                <w:sz w:val="24"/>
                <w:szCs w:val="32"/>
                <w:vertAlign w:val="subscript"/>
              </w:rPr>
              <w:t>2</w:t>
            </w:r>
            <w:r>
              <w:rPr>
                <w:rFonts w:eastAsiaTheme="minorEastAsia"/>
                <w:sz w:val="24"/>
                <w:szCs w:val="32"/>
              </w:rPr>
              <w:t>：0.01</w:t>
            </w:r>
            <w:r>
              <w:rPr>
                <w:rFonts w:hint="eastAsia" w:eastAsiaTheme="minorEastAsia"/>
                <w:sz w:val="24"/>
                <w:szCs w:val="32"/>
              </w:rPr>
              <w:t>2</w:t>
            </w:r>
            <w:r>
              <w:rPr>
                <w:rFonts w:eastAsiaTheme="minorEastAsia"/>
                <w:sz w:val="24"/>
                <w:szCs w:val="32"/>
              </w:rPr>
              <w:t>t/a、NO</w:t>
            </w:r>
            <w:r>
              <w:rPr>
                <w:rFonts w:eastAsiaTheme="minorEastAsia"/>
                <w:sz w:val="24"/>
                <w:szCs w:val="32"/>
                <w:vertAlign w:val="subscript"/>
              </w:rPr>
              <w:t>X</w:t>
            </w:r>
            <w:r>
              <w:rPr>
                <w:rFonts w:hint="eastAsia" w:eastAsiaTheme="minorEastAsia"/>
                <w:sz w:val="24"/>
                <w:szCs w:val="32"/>
              </w:rPr>
              <w:t>：</w:t>
            </w:r>
            <w:r>
              <w:rPr>
                <w:rFonts w:eastAsiaTheme="minorEastAsia"/>
                <w:sz w:val="24"/>
                <w:szCs w:val="32"/>
              </w:rPr>
              <w:t>0.</w:t>
            </w:r>
            <w:r>
              <w:rPr>
                <w:rFonts w:hint="eastAsia" w:eastAsiaTheme="minorEastAsia"/>
                <w:sz w:val="24"/>
                <w:szCs w:val="32"/>
              </w:rPr>
              <w:t>624</w:t>
            </w:r>
            <w:r>
              <w:rPr>
                <w:rFonts w:eastAsiaTheme="minorEastAsia"/>
                <w:sz w:val="24"/>
                <w:szCs w:val="32"/>
              </w:rPr>
              <w:t>t/a。</w:t>
            </w:r>
          </w:p>
          <w:p>
            <w:pPr>
              <w:spacing w:line="360" w:lineRule="auto"/>
              <w:ind w:firstLine="472" w:firstLineChars="197"/>
              <w:rPr>
                <w:rFonts w:eastAsiaTheme="minorEastAsia"/>
                <w:sz w:val="24"/>
                <w:szCs w:val="32"/>
              </w:rPr>
            </w:pPr>
            <w:r>
              <w:rPr>
                <w:rFonts w:eastAsiaTheme="minorEastAsia"/>
                <w:sz w:val="24"/>
                <w:szCs w:val="32"/>
              </w:rPr>
              <w:t>根据《山西省生态环境厅关于进一步加强重污染行业建设项目环评审批监管的通知》（晋环审批</w:t>
            </w:r>
            <w:r>
              <w:rPr>
                <w:rFonts w:hint="eastAsia" w:eastAsiaTheme="minorEastAsia"/>
                <w:sz w:val="24"/>
                <w:szCs w:val="32"/>
              </w:rPr>
              <w:t>〔</w:t>
            </w:r>
            <w:r>
              <w:rPr>
                <w:rFonts w:eastAsiaTheme="minorEastAsia"/>
                <w:sz w:val="24"/>
                <w:szCs w:val="32"/>
              </w:rPr>
              <w:t>2019</w:t>
            </w:r>
            <w:r>
              <w:rPr>
                <w:rFonts w:hint="eastAsia" w:eastAsiaTheme="minorEastAsia"/>
                <w:sz w:val="24"/>
                <w:szCs w:val="32"/>
              </w:rPr>
              <w:t>〕</w:t>
            </w:r>
            <w:r>
              <w:rPr>
                <w:rFonts w:eastAsiaTheme="minorEastAsia"/>
                <w:sz w:val="24"/>
                <w:szCs w:val="32"/>
              </w:rPr>
              <w:t>117号文件），二、坚守环境质量底线，严把环境准入关，5、所在区域上一年度环境空气质量年平均浓度未达标或水环境质量未达到要求的，相关污染物按照建设项目所需替代的主要污染物排放总量指标的2倍进行削减替代，未制定落实区域污染物倍量削减替代方案的，不予受理审批。</w:t>
            </w:r>
          </w:p>
          <w:p>
            <w:pPr>
              <w:spacing w:line="360" w:lineRule="auto"/>
              <w:ind w:firstLine="472" w:firstLineChars="197"/>
              <w:rPr>
                <w:rFonts w:eastAsiaTheme="minorEastAsia"/>
                <w:sz w:val="24"/>
                <w:szCs w:val="32"/>
              </w:rPr>
            </w:pPr>
            <w:r>
              <w:rPr>
                <w:rFonts w:hint="eastAsia" w:eastAsiaTheme="minorEastAsia"/>
                <w:sz w:val="24"/>
                <w:szCs w:val="32"/>
              </w:rPr>
              <w:t>本项目拆除现有燃煤加热炉，扩建后</w:t>
            </w:r>
            <w:r>
              <w:rPr>
                <w:rFonts w:eastAsiaTheme="minorEastAsia"/>
                <w:sz w:val="24"/>
                <w:szCs w:val="32"/>
              </w:rPr>
              <w:t>烟尘削减量</w:t>
            </w:r>
            <w:r>
              <w:rPr>
                <w:rFonts w:hint="eastAsia" w:eastAsiaTheme="minorEastAsia"/>
                <w:sz w:val="24"/>
                <w:szCs w:val="32"/>
              </w:rPr>
              <w:t>1.147t/a，</w:t>
            </w:r>
            <w:r>
              <w:rPr>
                <w:rFonts w:eastAsiaTheme="minorEastAsia"/>
                <w:sz w:val="24"/>
                <w:szCs w:val="32"/>
              </w:rPr>
              <w:t>SO</w:t>
            </w:r>
            <w:r>
              <w:rPr>
                <w:rFonts w:eastAsiaTheme="minorEastAsia"/>
                <w:sz w:val="24"/>
                <w:szCs w:val="32"/>
                <w:vertAlign w:val="subscript"/>
              </w:rPr>
              <w:t>2</w:t>
            </w:r>
            <w:r>
              <w:rPr>
                <w:rFonts w:eastAsiaTheme="minorEastAsia"/>
                <w:sz w:val="24"/>
                <w:szCs w:val="32"/>
              </w:rPr>
              <w:t>削减量</w:t>
            </w:r>
            <w:r>
              <w:rPr>
                <w:rFonts w:hint="eastAsia" w:eastAsiaTheme="minorEastAsia"/>
                <w:sz w:val="24"/>
                <w:szCs w:val="32"/>
              </w:rPr>
              <w:t>4.988t/a，</w:t>
            </w:r>
            <w:r>
              <w:rPr>
                <w:rFonts w:eastAsiaTheme="minorEastAsia"/>
                <w:sz w:val="24"/>
                <w:szCs w:val="32"/>
              </w:rPr>
              <w:t>NO</w:t>
            </w:r>
            <w:r>
              <w:rPr>
                <w:rFonts w:eastAsiaTheme="minorEastAsia"/>
                <w:sz w:val="24"/>
                <w:szCs w:val="32"/>
                <w:vertAlign w:val="subscript"/>
              </w:rPr>
              <w:t>X</w:t>
            </w:r>
            <w:r>
              <w:rPr>
                <w:rFonts w:eastAsiaTheme="minorEastAsia"/>
                <w:sz w:val="24"/>
                <w:szCs w:val="32"/>
              </w:rPr>
              <w:t>削减量</w:t>
            </w:r>
            <w:r>
              <w:rPr>
                <w:rFonts w:hint="eastAsia" w:eastAsiaTheme="minorEastAsia"/>
                <w:sz w:val="24"/>
                <w:szCs w:val="32"/>
              </w:rPr>
              <w:t>1.728t/a，满足倍量削减要求。</w:t>
            </w:r>
          </w:p>
          <w:p>
            <w:pPr>
              <w:spacing w:line="360" w:lineRule="auto"/>
              <w:ind w:firstLine="472" w:firstLineChars="197"/>
              <w:rPr>
                <w:rFonts w:eastAsiaTheme="minorEastAsia"/>
                <w:sz w:val="24"/>
                <w:szCs w:val="32"/>
              </w:rPr>
            </w:pPr>
          </w:p>
        </w:tc>
      </w:tr>
    </w:tbl>
    <w:p>
      <w:pPr>
        <w:pStyle w:val="10"/>
        <w:jc w:val="center"/>
        <w:outlineLvl w:val="0"/>
        <w:rPr>
          <w:rFonts w:ascii="Times New Roman" w:hAnsi="Times New Roman" w:cs="Times New Roman"/>
          <w:snapToGrid w:val="0"/>
          <w:sz w:val="30"/>
          <w:szCs w:val="30"/>
        </w:rPr>
        <w:sectPr>
          <w:pgSz w:w="11907" w:h="16840"/>
          <w:pgMar w:top="1701" w:right="1531" w:bottom="1701" w:left="1531" w:header="851" w:footer="1077" w:gutter="0"/>
          <w:cols w:space="720" w:num="1"/>
          <w:docGrid w:linePitch="312" w:charSpace="0"/>
        </w:sectPr>
      </w:pPr>
    </w:p>
    <w:p>
      <w:pPr>
        <w:pStyle w:val="10"/>
        <w:jc w:val="center"/>
        <w:outlineLvl w:val="0"/>
        <w:rPr>
          <w:rFonts w:ascii="Times New Roman" w:hAnsi="Times New Roman" w:cs="Times New Roman"/>
          <w:snapToGrid w:val="0"/>
          <w:sz w:val="30"/>
          <w:szCs w:val="30"/>
        </w:rPr>
      </w:pPr>
      <w:r>
        <w:rPr>
          <w:rFonts w:ascii="Times New Roman" w:hAnsi="Times New Roman" w:cs="Times New Roman"/>
          <w:snapToGrid w:val="0"/>
          <w:sz w:val="30"/>
          <w:szCs w:val="30"/>
        </w:rPr>
        <w:t>四、主要环境影响和保护措施</w:t>
      </w:r>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8"/>
        <w:gridCol w:w="84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91" w:hRule="atLeast"/>
          <w:jc w:val="center"/>
        </w:trPr>
        <w:tc>
          <w:tcPr>
            <w:tcW w:w="458" w:type="dxa"/>
            <w:tcMar>
              <w:left w:w="28" w:type="dxa"/>
              <w:right w:w="28" w:type="dxa"/>
            </w:tcMar>
            <w:vAlign w:val="center"/>
          </w:tcPr>
          <w:p>
            <w:pPr>
              <w:pStyle w:val="10"/>
              <w:adjustRightInd w:val="0"/>
              <w:snapToGrid w:val="0"/>
              <w:spacing w:before="0" w:beforeAutospacing="0" w:after="0" w:afterAutospacing="0"/>
              <w:jc w:val="center"/>
              <w:rPr>
                <w:rFonts w:ascii="Times New Roman" w:hAnsi="Times New Roman" w:cs="Times New Roman"/>
                <w:szCs w:val="24"/>
              </w:rPr>
            </w:pPr>
            <w:r>
              <w:rPr>
                <w:rFonts w:ascii="Times New Roman" w:hAnsi="Times New Roman" w:cs="Times New Roman"/>
                <w:szCs w:val="24"/>
              </w:rPr>
              <w:t>施工期环境保护措施</w:t>
            </w:r>
          </w:p>
        </w:tc>
        <w:tc>
          <w:tcPr>
            <w:tcW w:w="8450" w:type="dxa"/>
            <w:vAlign w:val="center"/>
          </w:tcPr>
          <w:p>
            <w:pPr>
              <w:spacing w:line="360" w:lineRule="auto"/>
              <w:ind w:firstLine="475" w:firstLineChars="197"/>
              <w:rPr>
                <w:b/>
                <w:bCs/>
                <w:sz w:val="24"/>
              </w:rPr>
            </w:pPr>
            <w:r>
              <w:rPr>
                <w:b/>
                <w:bCs/>
                <w:sz w:val="24"/>
              </w:rPr>
              <w:t>1、环境空气防治措施</w:t>
            </w:r>
          </w:p>
          <w:p>
            <w:pPr>
              <w:autoSpaceDE w:val="0"/>
              <w:spacing w:line="360" w:lineRule="auto"/>
              <w:ind w:firstLine="480" w:firstLineChars="200"/>
              <w:rPr>
                <w:bCs/>
                <w:sz w:val="24"/>
              </w:rPr>
            </w:pPr>
            <w:r>
              <w:rPr>
                <w:rFonts w:hint="eastAsia" w:ascii="宋体" w:hAnsi="宋体" w:cs="宋体"/>
                <w:bCs/>
                <w:sz w:val="24"/>
              </w:rPr>
              <w:t>①</w:t>
            </w:r>
            <w:r>
              <w:rPr>
                <w:bCs/>
                <w:sz w:val="24"/>
              </w:rPr>
              <w:t>施工工地百分百围挡</w:t>
            </w:r>
          </w:p>
          <w:p>
            <w:pPr>
              <w:autoSpaceDE w:val="0"/>
              <w:spacing w:line="360" w:lineRule="auto"/>
              <w:ind w:firstLine="480" w:firstLineChars="200"/>
              <w:rPr>
                <w:color w:val="000000"/>
                <w:sz w:val="24"/>
              </w:rPr>
            </w:pPr>
            <w:r>
              <w:rPr>
                <w:color w:val="000000"/>
                <w:sz w:val="24"/>
              </w:rPr>
              <w:t>施工现场设置高度不低于1.8m的施工围挡（墙），墙体坚固、稳定、清洁美观，围挡下方设置不低于20cm高的防溢座以防止粉尘流失。并设置施工标志牌，标明当地环境保护主管部门的污染举报电话。施工场地应和现有办公、居住区域分离，互不干扰。</w:t>
            </w:r>
          </w:p>
          <w:p>
            <w:pPr>
              <w:autoSpaceDE w:val="0"/>
              <w:spacing w:line="360" w:lineRule="auto"/>
              <w:ind w:firstLine="480" w:firstLineChars="200"/>
              <w:rPr>
                <w:bCs/>
                <w:sz w:val="24"/>
              </w:rPr>
            </w:pPr>
            <w:r>
              <w:rPr>
                <w:rFonts w:hint="eastAsia" w:ascii="宋体" w:hAnsi="宋体" w:cs="宋体"/>
                <w:bCs/>
                <w:sz w:val="24"/>
              </w:rPr>
              <w:t>②</w:t>
            </w:r>
            <w:r>
              <w:rPr>
                <w:bCs/>
                <w:sz w:val="24"/>
              </w:rPr>
              <w:t>物料百分百覆盖</w:t>
            </w:r>
          </w:p>
          <w:p>
            <w:pPr>
              <w:autoSpaceDE w:val="0"/>
              <w:spacing w:line="360" w:lineRule="auto"/>
              <w:ind w:firstLine="480" w:firstLineChars="200"/>
              <w:rPr>
                <w:color w:val="000000"/>
              </w:rPr>
            </w:pPr>
            <w:r>
              <w:rPr>
                <w:color w:val="000000"/>
                <w:sz w:val="24"/>
              </w:rPr>
              <w:t>施工物料应集中堆放，尽量减少扬尘对周围环境的影响。每一块独立裸露地面都采取覆盖措施，覆盖措施包括：钢板、防尘网（布）、绿化、化学抑尘剂，或达到同等效率的覆盖措施。</w:t>
            </w:r>
          </w:p>
          <w:p>
            <w:pPr>
              <w:autoSpaceDE w:val="0"/>
              <w:spacing w:line="360" w:lineRule="auto"/>
              <w:ind w:firstLine="480" w:firstLineChars="200"/>
              <w:rPr>
                <w:bCs/>
                <w:sz w:val="24"/>
              </w:rPr>
            </w:pPr>
            <w:r>
              <w:rPr>
                <w:color w:val="000000"/>
                <w:sz w:val="24"/>
              </w:rPr>
              <w:t>所有砂石、灰土、灰浆等易扬尘物料都必须以不透水的隔尘布完全覆盖或放置在顶部和四周均有遮蔽的范围内，防尘布或遮蔽装置的完好率必须100%，小批量且在8小时之内投入使用的物料除外。</w:t>
            </w:r>
          </w:p>
          <w:p>
            <w:pPr>
              <w:autoSpaceDE w:val="0"/>
              <w:spacing w:line="360" w:lineRule="auto"/>
              <w:ind w:firstLine="480" w:firstLineChars="200"/>
              <w:rPr>
                <w:bCs/>
                <w:sz w:val="24"/>
              </w:rPr>
            </w:pPr>
            <w:r>
              <w:rPr>
                <w:rFonts w:hint="eastAsia" w:ascii="宋体" w:hAnsi="宋体" w:cs="宋体"/>
                <w:bCs/>
                <w:sz w:val="24"/>
              </w:rPr>
              <w:t>③</w:t>
            </w:r>
            <w:r>
              <w:rPr>
                <w:bCs/>
                <w:sz w:val="24"/>
              </w:rPr>
              <w:t>出入车辆百分百冲洗</w:t>
            </w:r>
          </w:p>
          <w:p>
            <w:pPr>
              <w:autoSpaceDE w:val="0"/>
              <w:spacing w:line="360" w:lineRule="auto"/>
              <w:ind w:firstLine="480" w:firstLineChars="200"/>
              <w:rPr>
                <w:bCs/>
                <w:sz w:val="24"/>
              </w:rPr>
            </w:pPr>
            <w:r>
              <w:rPr>
                <w:color w:val="000000"/>
                <w:sz w:val="24"/>
              </w:rPr>
              <w:t>运输车辆驶出工地前，应对车轮、车身、车槽帮等部位进行清理或清洗以保证车辆清洁上路。本项目西北侧车辆出入口设置车辆清洗场，施工车辆进出施工场地应对轮胎、车体进行清洗、清洁。施工场所车辆入口和出口30米以内部分的路面上不应有明显的泥印，以及砂石、灰土等易扬尘物料。施工车辆冲洗平台设在车辆出入口附近。</w:t>
            </w:r>
          </w:p>
          <w:p>
            <w:pPr>
              <w:autoSpaceDE w:val="0"/>
              <w:spacing w:line="360" w:lineRule="auto"/>
              <w:ind w:firstLine="480" w:firstLineChars="200"/>
              <w:rPr>
                <w:bCs/>
                <w:sz w:val="24"/>
              </w:rPr>
            </w:pPr>
            <w:r>
              <w:rPr>
                <w:rFonts w:hint="eastAsia" w:ascii="宋体" w:hAnsi="宋体" w:cs="宋体"/>
                <w:bCs/>
                <w:sz w:val="24"/>
              </w:rPr>
              <w:t>④</w:t>
            </w:r>
            <w:r>
              <w:rPr>
                <w:bCs/>
                <w:sz w:val="24"/>
              </w:rPr>
              <w:t>施工现场路面百分百硬化</w:t>
            </w:r>
          </w:p>
          <w:p>
            <w:pPr>
              <w:autoSpaceDE w:val="0"/>
              <w:spacing w:line="360" w:lineRule="auto"/>
              <w:ind w:firstLine="480" w:firstLineChars="200"/>
              <w:rPr>
                <w:bCs/>
                <w:sz w:val="24"/>
              </w:rPr>
            </w:pPr>
            <w:r>
              <w:rPr>
                <w:color w:val="000000"/>
                <w:sz w:val="24"/>
              </w:rPr>
              <w:t>施工场所内车行道路必须全部硬化，任何时候行车道路上不能有明显的尘土，道路清扫时都必须采取洒水措施。</w:t>
            </w:r>
          </w:p>
          <w:p>
            <w:pPr>
              <w:autoSpaceDE w:val="0"/>
              <w:spacing w:line="360" w:lineRule="auto"/>
              <w:ind w:firstLine="480" w:firstLineChars="200"/>
              <w:rPr>
                <w:bCs/>
                <w:sz w:val="24"/>
              </w:rPr>
            </w:pPr>
            <w:r>
              <w:rPr>
                <w:rFonts w:hint="eastAsia" w:ascii="宋体" w:hAnsi="宋体" w:cs="宋体"/>
                <w:bCs/>
                <w:sz w:val="24"/>
              </w:rPr>
              <w:t>⑤</w:t>
            </w:r>
            <w:r>
              <w:rPr>
                <w:bCs/>
                <w:sz w:val="24"/>
              </w:rPr>
              <w:t>拆迁工地百分百湿法作业</w:t>
            </w:r>
          </w:p>
          <w:p>
            <w:pPr>
              <w:autoSpaceDE w:val="0"/>
              <w:spacing w:line="360" w:lineRule="auto"/>
              <w:ind w:firstLine="480" w:firstLineChars="200"/>
              <w:rPr>
                <w:bCs/>
                <w:sz w:val="24"/>
              </w:rPr>
            </w:pPr>
            <w:r>
              <w:rPr>
                <w:color w:val="000000"/>
                <w:sz w:val="24"/>
              </w:rPr>
              <w:t>拆迁施工场地应定时洒水，以防止浮沉颗粒，在大风日还应适当增加洒水次数避免物料及土方堆存起尘。</w:t>
            </w:r>
          </w:p>
          <w:p>
            <w:pPr>
              <w:autoSpaceDE w:val="0"/>
              <w:spacing w:line="360" w:lineRule="auto"/>
              <w:ind w:firstLine="480" w:firstLineChars="200"/>
              <w:rPr>
                <w:bCs/>
                <w:sz w:val="24"/>
              </w:rPr>
            </w:pPr>
            <w:r>
              <w:rPr>
                <w:rFonts w:hint="eastAsia" w:ascii="宋体" w:hAnsi="宋体" w:cs="宋体"/>
                <w:bCs/>
                <w:sz w:val="24"/>
              </w:rPr>
              <w:t>⑥</w:t>
            </w:r>
            <w:r>
              <w:rPr>
                <w:bCs/>
                <w:sz w:val="24"/>
              </w:rPr>
              <w:t>渣土车辆百分百密闭</w:t>
            </w:r>
          </w:p>
          <w:p>
            <w:pPr>
              <w:autoSpaceDE w:val="0"/>
              <w:spacing w:line="360" w:lineRule="auto"/>
              <w:ind w:firstLine="480" w:firstLineChars="200"/>
              <w:rPr>
                <w:bCs/>
                <w:sz w:val="24"/>
              </w:rPr>
            </w:pPr>
            <w:r>
              <w:rPr>
                <w:color w:val="000000"/>
                <w:sz w:val="24"/>
              </w:rPr>
              <w:t>渣土运输车辆应采取密闭措施并确保正常使用。</w:t>
            </w:r>
          </w:p>
          <w:p>
            <w:pPr>
              <w:spacing w:line="360" w:lineRule="auto"/>
              <w:ind w:firstLine="475" w:firstLineChars="197"/>
              <w:rPr>
                <w:b/>
                <w:sz w:val="24"/>
              </w:rPr>
            </w:pPr>
            <w:r>
              <w:rPr>
                <w:b/>
                <w:sz w:val="24"/>
              </w:rPr>
              <w:t>2、水环境防治措施</w:t>
            </w:r>
          </w:p>
          <w:p>
            <w:pPr>
              <w:spacing w:line="360" w:lineRule="auto"/>
              <w:ind w:firstLine="472" w:firstLineChars="197"/>
              <w:rPr>
                <w:bCs/>
                <w:sz w:val="24"/>
              </w:rPr>
            </w:pPr>
            <w:r>
              <w:rPr>
                <w:bCs/>
                <w:sz w:val="24"/>
              </w:rPr>
              <w:t>施工废水主要来源于砂浆配置过程用水及机械、车辆冲洗用水，排放主要由设备冲洗及施工中的跑、冒、滴、漏、溢流产生，主要为少量混砂，不含其他杂质，这类废水在施工现场设临时沉淀池收集后回用。</w:t>
            </w:r>
          </w:p>
          <w:p>
            <w:pPr>
              <w:spacing w:line="360" w:lineRule="auto"/>
              <w:ind w:firstLine="475" w:firstLineChars="197"/>
              <w:rPr>
                <w:b/>
                <w:sz w:val="24"/>
              </w:rPr>
            </w:pPr>
            <w:r>
              <w:rPr>
                <w:b/>
                <w:sz w:val="24"/>
              </w:rPr>
              <w:t>3、声环境防治措施</w:t>
            </w:r>
          </w:p>
          <w:p>
            <w:pPr>
              <w:spacing w:line="360" w:lineRule="auto"/>
              <w:ind w:firstLine="472" w:firstLineChars="197"/>
              <w:rPr>
                <w:bCs/>
                <w:sz w:val="24"/>
              </w:rPr>
            </w:pPr>
            <w:r>
              <w:rPr>
                <w:rFonts w:hint="eastAsia" w:ascii="宋体" w:hAnsi="宋体" w:cs="宋体"/>
                <w:bCs/>
                <w:sz w:val="24"/>
              </w:rPr>
              <w:t>①</w:t>
            </w:r>
            <w:r>
              <w:rPr>
                <w:bCs/>
                <w:sz w:val="24"/>
              </w:rPr>
              <w:t>制定严格合理的施工计划，集中安排高噪声施工阶段，便于合理控制；</w:t>
            </w:r>
          </w:p>
          <w:p>
            <w:pPr>
              <w:spacing w:line="360" w:lineRule="auto"/>
              <w:ind w:firstLine="472" w:firstLineChars="197"/>
              <w:rPr>
                <w:bCs/>
                <w:sz w:val="24"/>
              </w:rPr>
            </w:pPr>
            <w:r>
              <w:rPr>
                <w:rFonts w:hint="eastAsia" w:ascii="宋体" w:hAnsi="宋体" w:cs="宋体"/>
                <w:bCs/>
                <w:sz w:val="24"/>
              </w:rPr>
              <w:t>②</w:t>
            </w:r>
            <w:r>
              <w:rPr>
                <w:bCs/>
                <w:sz w:val="24"/>
              </w:rPr>
              <w:t>事先公告施工状况；</w:t>
            </w:r>
          </w:p>
          <w:p>
            <w:pPr>
              <w:spacing w:line="360" w:lineRule="auto"/>
              <w:ind w:firstLine="472" w:firstLineChars="197"/>
              <w:rPr>
                <w:bCs/>
                <w:sz w:val="24"/>
              </w:rPr>
            </w:pPr>
            <w:r>
              <w:rPr>
                <w:rFonts w:hint="eastAsia" w:ascii="宋体" w:hAnsi="宋体" w:cs="宋体"/>
                <w:bCs/>
                <w:sz w:val="24"/>
              </w:rPr>
              <w:t>③</w:t>
            </w:r>
            <w:r>
              <w:rPr>
                <w:bCs/>
                <w:sz w:val="24"/>
              </w:rPr>
              <w:t>施工区应实施严格的隔离措施，降低施工噪声影响；</w:t>
            </w:r>
          </w:p>
          <w:p>
            <w:pPr>
              <w:spacing w:line="360" w:lineRule="auto"/>
              <w:ind w:firstLine="472" w:firstLineChars="197"/>
              <w:rPr>
                <w:bCs/>
                <w:sz w:val="24"/>
              </w:rPr>
            </w:pPr>
            <w:r>
              <w:rPr>
                <w:rFonts w:hint="eastAsia" w:ascii="宋体" w:hAnsi="宋体" w:cs="宋体"/>
                <w:bCs/>
                <w:sz w:val="24"/>
              </w:rPr>
              <w:t>④</w:t>
            </w:r>
            <w:r>
              <w:rPr>
                <w:bCs/>
                <w:sz w:val="24"/>
              </w:rPr>
              <w:t>在施工阶段采用商品砼，不仅可减少扬尘，而且还避免搅拌机噪声污染；</w:t>
            </w:r>
          </w:p>
          <w:p>
            <w:pPr>
              <w:spacing w:line="360" w:lineRule="auto"/>
              <w:ind w:firstLine="472" w:firstLineChars="197"/>
              <w:rPr>
                <w:bCs/>
                <w:sz w:val="24"/>
              </w:rPr>
            </w:pPr>
            <w:r>
              <w:rPr>
                <w:rFonts w:hint="eastAsia" w:ascii="宋体" w:hAnsi="宋体" w:cs="宋体"/>
                <w:bCs/>
                <w:sz w:val="24"/>
              </w:rPr>
              <w:t>⑤</w:t>
            </w:r>
            <w:r>
              <w:rPr>
                <w:bCs/>
                <w:sz w:val="24"/>
              </w:rPr>
              <w:t>高产噪设备的施工时间应安排在日间非休息时段，夜间禁止施工；</w:t>
            </w:r>
          </w:p>
          <w:p>
            <w:pPr>
              <w:spacing w:line="360" w:lineRule="auto"/>
              <w:ind w:firstLine="472" w:firstLineChars="197"/>
              <w:rPr>
                <w:bCs/>
                <w:sz w:val="24"/>
              </w:rPr>
            </w:pPr>
            <w:r>
              <w:rPr>
                <w:rFonts w:hint="eastAsia" w:ascii="宋体" w:hAnsi="宋体" w:cs="宋体"/>
                <w:bCs/>
                <w:sz w:val="24"/>
              </w:rPr>
              <w:t>⑥</w:t>
            </w:r>
            <w:r>
              <w:rPr>
                <w:bCs/>
                <w:sz w:val="24"/>
              </w:rPr>
              <w:t>尽可能利用噪声距离衰减措施，在不影响施工的条件下，将强噪声设备尽量移至距场界较远的地方，保证施工场界达标；</w:t>
            </w:r>
          </w:p>
          <w:p>
            <w:pPr>
              <w:spacing w:line="360" w:lineRule="auto"/>
              <w:ind w:firstLine="472" w:firstLineChars="197"/>
              <w:rPr>
                <w:bCs/>
                <w:sz w:val="24"/>
              </w:rPr>
            </w:pPr>
            <w:r>
              <w:rPr>
                <w:rFonts w:hint="eastAsia" w:ascii="宋体" w:hAnsi="宋体" w:cs="宋体"/>
                <w:bCs/>
                <w:sz w:val="24"/>
              </w:rPr>
              <w:t>⑦</w:t>
            </w:r>
            <w:r>
              <w:rPr>
                <w:bCs/>
                <w:sz w:val="24"/>
              </w:rPr>
              <w:t>施工设备选型上应尽量采用低噪声设备，如振捣器采用变频振捣器等；对动力机械设备进行定期的维修、养护，因设备常因松动部件的震动或消声器破坏而加大其工作时的声级；尽量少用哨子、喇叭等指挥作业，减少人为噪声；</w:t>
            </w:r>
          </w:p>
          <w:p>
            <w:pPr>
              <w:spacing w:line="360" w:lineRule="auto"/>
              <w:ind w:firstLine="472" w:firstLineChars="197"/>
              <w:rPr>
                <w:bCs/>
                <w:sz w:val="24"/>
              </w:rPr>
            </w:pPr>
            <w:r>
              <w:rPr>
                <w:rFonts w:hint="eastAsia" w:ascii="宋体" w:hAnsi="宋体" w:cs="宋体"/>
                <w:bCs/>
                <w:sz w:val="24"/>
              </w:rPr>
              <w:t>⑧</w:t>
            </w:r>
            <w:r>
              <w:rPr>
                <w:bCs/>
                <w:sz w:val="24"/>
              </w:rPr>
              <w:t>尽量将强噪声设备分散安排，同时相对固定的机械设备尽量入棚操作，最大限度减少施工噪声对周围居民的影响。</w:t>
            </w:r>
          </w:p>
          <w:p>
            <w:pPr>
              <w:spacing w:line="360" w:lineRule="auto"/>
              <w:ind w:firstLine="475" w:firstLineChars="197"/>
              <w:rPr>
                <w:b/>
                <w:sz w:val="24"/>
              </w:rPr>
            </w:pPr>
            <w:r>
              <w:rPr>
                <w:b/>
                <w:sz w:val="24"/>
              </w:rPr>
              <w:t>4、固废防治措施</w:t>
            </w:r>
          </w:p>
          <w:p>
            <w:pPr>
              <w:adjustRightInd w:val="0"/>
              <w:snapToGrid w:val="0"/>
              <w:spacing w:line="360" w:lineRule="auto"/>
              <w:ind w:firstLine="480" w:firstLineChars="200"/>
              <w:rPr>
                <w:bCs/>
                <w:spacing w:val="-10"/>
                <w:szCs w:val="21"/>
              </w:rPr>
            </w:pPr>
            <w:r>
              <w:rPr>
                <w:bCs/>
                <w:sz w:val="24"/>
              </w:rPr>
              <w:t>场地内砂土合理利用，建筑垃圾统一清运到政府部门指定垃圾处理场处理。生活垃圾应定点堆放，收集后与附近村庄生活垃圾一起处理。</w:t>
            </w: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p>
            <w:pP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64" w:hRule="atLeast"/>
          <w:jc w:val="center"/>
        </w:trPr>
        <w:tc>
          <w:tcPr>
            <w:tcW w:w="458" w:type="dxa"/>
            <w:tcMar>
              <w:left w:w="28" w:type="dxa"/>
              <w:right w:w="28" w:type="dxa"/>
            </w:tcMar>
            <w:vAlign w:val="center"/>
          </w:tcPr>
          <w:p>
            <w:pPr>
              <w:adjustRightInd w:val="0"/>
              <w:snapToGrid w:val="0"/>
              <w:jc w:val="center"/>
              <w:rPr>
                <w:bCs/>
                <w:sz w:val="24"/>
              </w:rPr>
            </w:pPr>
            <w:r>
              <w:rPr>
                <w:bCs/>
                <w:sz w:val="24"/>
              </w:rPr>
              <w:t>运营期环境影响和保护措施</w:t>
            </w:r>
          </w:p>
        </w:tc>
        <w:tc>
          <w:tcPr>
            <w:tcW w:w="8450" w:type="dxa"/>
          </w:tcPr>
          <w:p>
            <w:pPr>
              <w:spacing w:line="360" w:lineRule="auto"/>
              <w:ind w:firstLine="482" w:firstLineChars="200"/>
              <w:rPr>
                <w:b/>
                <w:bCs/>
                <w:sz w:val="24"/>
              </w:rPr>
            </w:pPr>
            <w:r>
              <w:rPr>
                <w:b/>
                <w:bCs/>
                <w:sz w:val="24"/>
              </w:rPr>
              <w:t>一、大气污染影响分析</w:t>
            </w:r>
          </w:p>
          <w:p>
            <w:pPr>
              <w:spacing w:line="360" w:lineRule="auto"/>
              <w:jc w:val="center"/>
              <w:rPr>
                <w:b/>
                <w:bCs/>
                <w:szCs w:val="21"/>
              </w:rPr>
            </w:pPr>
            <w:r>
              <w:rPr>
                <w:b/>
                <w:bCs/>
                <w:szCs w:val="21"/>
              </w:rPr>
              <w:t>表</w:t>
            </w:r>
            <w:r>
              <w:rPr>
                <w:rFonts w:hint="eastAsia"/>
                <w:b/>
                <w:bCs/>
                <w:szCs w:val="21"/>
              </w:rPr>
              <w:t>24</w:t>
            </w:r>
            <w:r>
              <w:rPr>
                <w:b/>
                <w:bCs/>
                <w:szCs w:val="21"/>
              </w:rPr>
              <w:t xml:space="preserve">  大气污染排放及控制表</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73"/>
              <w:gridCol w:w="849"/>
              <w:gridCol w:w="1133"/>
              <w:gridCol w:w="992"/>
              <w:gridCol w:w="1273"/>
              <w:gridCol w:w="1416"/>
              <w:gridCol w:w="16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restart"/>
                  <w:vAlign w:val="center"/>
                </w:tcPr>
                <w:p>
                  <w:pPr>
                    <w:jc w:val="center"/>
                    <w:rPr>
                      <w:szCs w:val="21"/>
                    </w:rPr>
                  </w:pPr>
                  <w:r>
                    <w:rPr>
                      <w:szCs w:val="21"/>
                    </w:rPr>
                    <w:t>产排污环节</w:t>
                  </w:r>
                </w:p>
              </w:tc>
              <w:tc>
                <w:tcPr>
                  <w:tcW w:w="850" w:type="dxa"/>
                  <w:vMerge w:val="restart"/>
                  <w:vAlign w:val="center"/>
                </w:tcPr>
                <w:p>
                  <w:pPr>
                    <w:jc w:val="center"/>
                    <w:rPr>
                      <w:szCs w:val="21"/>
                    </w:rPr>
                  </w:pPr>
                  <w:r>
                    <w:rPr>
                      <w:szCs w:val="21"/>
                    </w:rPr>
                    <w:t>污染物种类</w:t>
                  </w:r>
                </w:p>
              </w:tc>
              <w:tc>
                <w:tcPr>
                  <w:tcW w:w="2127" w:type="dxa"/>
                  <w:gridSpan w:val="2"/>
                  <w:vAlign w:val="center"/>
                </w:tcPr>
                <w:p>
                  <w:pPr>
                    <w:jc w:val="center"/>
                    <w:rPr>
                      <w:szCs w:val="21"/>
                    </w:rPr>
                  </w:pPr>
                  <w:r>
                    <w:rPr>
                      <w:szCs w:val="21"/>
                    </w:rPr>
                    <w:t>污染物</w:t>
                  </w:r>
                  <w:r>
                    <w:rPr>
                      <w:rFonts w:hint="eastAsia"/>
                      <w:szCs w:val="21"/>
                    </w:rPr>
                    <w:t>排放</w:t>
                  </w:r>
                  <w:r>
                    <w:rPr>
                      <w:szCs w:val="21"/>
                    </w:rPr>
                    <w:t>量及浓度</w:t>
                  </w:r>
                </w:p>
              </w:tc>
              <w:tc>
                <w:tcPr>
                  <w:tcW w:w="1275" w:type="dxa"/>
                  <w:vMerge w:val="restart"/>
                  <w:vAlign w:val="center"/>
                </w:tcPr>
                <w:p>
                  <w:pPr>
                    <w:jc w:val="center"/>
                    <w:rPr>
                      <w:szCs w:val="21"/>
                    </w:rPr>
                  </w:pPr>
                  <w:r>
                    <w:rPr>
                      <w:szCs w:val="21"/>
                    </w:rPr>
                    <w:t>排放形式</w:t>
                  </w:r>
                </w:p>
              </w:tc>
              <w:tc>
                <w:tcPr>
                  <w:tcW w:w="1418" w:type="dxa"/>
                  <w:vMerge w:val="restart"/>
                  <w:vAlign w:val="center"/>
                </w:tcPr>
                <w:p>
                  <w:pPr>
                    <w:jc w:val="center"/>
                    <w:rPr>
                      <w:szCs w:val="21"/>
                    </w:rPr>
                  </w:pPr>
                  <w:r>
                    <w:rPr>
                      <w:szCs w:val="21"/>
                    </w:rPr>
                    <w:t>治理措施</w:t>
                  </w:r>
                </w:p>
              </w:tc>
              <w:tc>
                <w:tcPr>
                  <w:tcW w:w="1670" w:type="dxa"/>
                  <w:vMerge w:val="restart"/>
                  <w:vAlign w:val="center"/>
                </w:tcPr>
                <w:p>
                  <w:pPr>
                    <w:jc w:val="center"/>
                    <w:rPr>
                      <w:szCs w:val="21"/>
                    </w:rPr>
                  </w:pPr>
                  <w:r>
                    <w:rPr>
                      <w:szCs w:val="21"/>
                    </w:rPr>
                    <w:t>是否为可行性技术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Merge w:val="continue"/>
                  <w:vAlign w:val="center"/>
                </w:tcPr>
                <w:p>
                  <w:pPr>
                    <w:jc w:val="center"/>
                    <w:rPr>
                      <w:szCs w:val="21"/>
                    </w:rPr>
                  </w:pPr>
                </w:p>
              </w:tc>
              <w:tc>
                <w:tcPr>
                  <w:tcW w:w="850" w:type="dxa"/>
                  <w:vMerge w:val="continue"/>
                  <w:vAlign w:val="center"/>
                </w:tcPr>
                <w:p>
                  <w:pPr>
                    <w:jc w:val="center"/>
                    <w:rPr>
                      <w:szCs w:val="21"/>
                    </w:rPr>
                  </w:pPr>
                </w:p>
              </w:tc>
              <w:tc>
                <w:tcPr>
                  <w:tcW w:w="1134" w:type="dxa"/>
                  <w:vAlign w:val="center"/>
                </w:tcPr>
                <w:p>
                  <w:pPr>
                    <w:jc w:val="center"/>
                    <w:rPr>
                      <w:szCs w:val="21"/>
                    </w:rPr>
                  </w:pPr>
                  <w:r>
                    <w:rPr>
                      <w:szCs w:val="21"/>
                    </w:rPr>
                    <w:t>浓度（mg/m</w:t>
                  </w:r>
                  <w:r>
                    <w:rPr>
                      <w:szCs w:val="21"/>
                      <w:vertAlign w:val="superscript"/>
                    </w:rPr>
                    <w:t>3</w:t>
                  </w:r>
                  <w:r>
                    <w:rPr>
                      <w:szCs w:val="21"/>
                    </w:rPr>
                    <w:t>）</w:t>
                  </w:r>
                </w:p>
              </w:tc>
              <w:tc>
                <w:tcPr>
                  <w:tcW w:w="993" w:type="dxa"/>
                  <w:vAlign w:val="center"/>
                </w:tcPr>
                <w:p>
                  <w:pPr>
                    <w:jc w:val="center"/>
                    <w:rPr>
                      <w:szCs w:val="21"/>
                    </w:rPr>
                  </w:pPr>
                  <w:r>
                    <w:rPr>
                      <w:rFonts w:hint="eastAsia"/>
                      <w:szCs w:val="21"/>
                    </w:rPr>
                    <w:t>排放</w:t>
                  </w:r>
                  <w:r>
                    <w:rPr>
                      <w:szCs w:val="21"/>
                    </w:rPr>
                    <w:t>量（t/a）</w:t>
                  </w:r>
                </w:p>
              </w:tc>
              <w:tc>
                <w:tcPr>
                  <w:tcW w:w="1275" w:type="dxa"/>
                  <w:vMerge w:val="continue"/>
                  <w:vAlign w:val="center"/>
                </w:tcPr>
                <w:p>
                  <w:pPr>
                    <w:jc w:val="center"/>
                    <w:rPr>
                      <w:szCs w:val="21"/>
                    </w:rPr>
                  </w:pPr>
                </w:p>
              </w:tc>
              <w:tc>
                <w:tcPr>
                  <w:tcW w:w="1418" w:type="dxa"/>
                  <w:vMerge w:val="continue"/>
                  <w:vAlign w:val="center"/>
                </w:tcPr>
                <w:p>
                  <w:pPr>
                    <w:jc w:val="center"/>
                    <w:rPr>
                      <w:szCs w:val="21"/>
                    </w:rPr>
                  </w:pPr>
                </w:p>
              </w:tc>
              <w:tc>
                <w:tcPr>
                  <w:tcW w:w="1670"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5" w:hRule="atLeast"/>
              </w:trPr>
              <w:tc>
                <w:tcPr>
                  <w:tcW w:w="874" w:type="dxa"/>
                  <w:vMerge w:val="restart"/>
                  <w:vAlign w:val="center"/>
                </w:tcPr>
                <w:p>
                  <w:pPr>
                    <w:jc w:val="center"/>
                    <w:rPr>
                      <w:szCs w:val="21"/>
                    </w:rPr>
                  </w:pPr>
                  <w:r>
                    <w:rPr>
                      <w:szCs w:val="21"/>
                    </w:rPr>
                    <w:t>1#天然气加热炉</w:t>
                  </w:r>
                </w:p>
              </w:tc>
              <w:tc>
                <w:tcPr>
                  <w:tcW w:w="850" w:type="dxa"/>
                  <w:vAlign w:val="center"/>
                </w:tcPr>
                <w:p>
                  <w:pPr>
                    <w:jc w:val="center"/>
                    <w:rPr>
                      <w:szCs w:val="21"/>
                    </w:rPr>
                  </w:pPr>
                  <w:r>
                    <w:rPr>
                      <w:szCs w:val="21"/>
                    </w:rPr>
                    <w:t>烟尘</w:t>
                  </w:r>
                </w:p>
              </w:tc>
              <w:tc>
                <w:tcPr>
                  <w:tcW w:w="1134" w:type="dxa"/>
                  <w:vAlign w:val="center"/>
                </w:tcPr>
                <w:p>
                  <w:pPr>
                    <w:jc w:val="center"/>
                    <w:rPr>
                      <w:szCs w:val="21"/>
                    </w:rPr>
                  </w:pPr>
                  <w:r>
                    <w:rPr>
                      <w:rFonts w:hint="eastAsia"/>
                      <w:szCs w:val="21"/>
                    </w:rPr>
                    <w:t>20</w:t>
                  </w:r>
                </w:p>
              </w:tc>
              <w:tc>
                <w:tcPr>
                  <w:tcW w:w="993" w:type="dxa"/>
                  <w:vAlign w:val="center"/>
                </w:tcPr>
                <w:p>
                  <w:pPr>
                    <w:jc w:val="center"/>
                    <w:rPr>
                      <w:szCs w:val="21"/>
                    </w:rPr>
                  </w:pPr>
                  <w:r>
                    <w:rPr>
                      <w:szCs w:val="21"/>
                    </w:rPr>
                    <w:t>0.0</w:t>
                  </w:r>
                  <w:r>
                    <w:rPr>
                      <w:rFonts w:hint="eastAsia"/>
                      <w:szCs w:val="21"/>
                    </w:rPr>
                    <w:t>26</w:t>
                  </w:r>
                </w:p>
              </w:tc>
              <w:tc>
                <w:tcPr>
                  <w:tcW w:w="1275" w:type="dxa"/>
                  <w:vMerge w:val="restart"/>
                  <w:vAlign w:val="center"/>
                </w:tcPr>
                <w:p>
                  <w:pPr>
                    <w:jc w:val="center"/>
                    <w:rPr>
                      <w:szCs w:val="21"/>
                    </w:rPr>
                  </w:pPr>
                  <w:r>
                    <w:rPr>
                      <w:szCs w:val="21"/>
                    </w:rPr>
                    <w:t>有组织</w:t>
                  </w:r>
                </w:p>
              </w:tc>
              <w:tc>
                <w:tcPr>
                  <w:tcW w:w="1418" w:type="dxa"/>
                  <w:vMerge w:val="restart"/>
                  <w:vAlign w:val="center"/>
                </w:tcPr>
                <w:p>
                  <w:pPr>
                    <w:jc w:val="center"/>
                    <w:rPr>
                      <w:szCs w:val="21"/>
                    </w:rPr>
                  </w:pPr>
                  <w:r>
                    <w:rPr>
                      <w:szCs w:val="21"/>
                    </w:rPr>
                    <w:t>一套SCR脱硝装置，燃烧废气经处理后通过15m高排气筒排放，脱硝效率为</w:t>
                  </w:r>
                  <w:r>
                    <w:rPr>
                      <w:rFonts w:hint="eastAsia"/>
                      <w:szCs w:val="21"/>
                    </w:rPr>
                    <w:t>8</w:t>
                  </w:r>
                  <w:r>
                    <w:rPr>
                      <w:szCs w:val="21"/>
                    </w:rPr>
                    <w:t>0%</w:t>
                  </w:r>
                </w:p>
              </w:tc>
              <w:tc>
                <w:tcPr>
                  <w:tcW w:w="1670" w:type="dxa"/>
                  <w:vMerge w:val="restart"/>
                  <w:vAlign w:val="center"/>
                </w:tcPr>
                <w:p>
                  <w:pPr>
                    <w:jc w:val="center"/>
                    <w:rPr>
                      <w:szCs w:val="21"/>
                    </w:rPr>
                  </w:pPr>
                  <w:r>
                    <w:rPr>
                      <w:szCs w:val="21"/>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6" w:hRule="atLeast"/>
              </w:trPr>
              <w:tc>
                <w:tcPr>
                  <w:tcW w:w="874" w:type="dxa"/>
                  <w:vMerge w:val="continue"/>
                  <w:vAlign w:val="center"/>
                </w:tcPr>
                <w:p>
                  <w:pPr>
                    <w:jc w:val="center"/>
                    <w:rPr>
                      <w:szCs w:val="21"/>
                    </w:rPr>
                  </w:pPr>
                </w:p>
              </w:tc>
              <w:tc>
                <w:tcPr>
                  <w:tcW w:w="850" w:type="dxa"/>
                  <w:vAlign w:val="center"/>
                </w:tcPr>
                <w:p>
                  <w:pPr>
                    <w:jc w:val="center"/>
                    <w:rPr>
                      <w:szCs w:val="21"/>
                      <w:vertAlign w:val="subscript"/>
                    </w:rPr>
                  </w:pPr>
                  <w:r>
                    <w:rPr>
                      <w:szCs w:val="21"/>
                    </w:rPr>
                    <w:t>SO</w:t>
                  </w:r>
                  <w:r>
                    <w:rPr>
                      <w:szCs w:val="21"/>
                      <w:vertAlign w:val="subscript"/>
                    </w:rPr>
                    <w:t>2</w:t>
                  </w:r>
                </w:p>
              </w:tc>
              <w:tc>
                <w:tcPr>
                  <w:tcW w:w="1134" w:type="dxa"/>
                  <w:vAlign w:val="center"/>
                </w:tcPr>
                <w:p>
                  <w:pPr>
                    <w:jc w:val="center"/>
                    <w:rPr>
                      <w:szCs w:val="21"/>
                    </w:rPr>
                  </w:pPr>
                  <w:r>
                    <w:rPr>
                      <w:rFonts w:hint="eastAsia"/>
                      <w:szCs w:val="21"/>
                    </w:rPr>
                    <w:t>3.08</w:t>
                  </w:r>
                </w:p>
              </w:tc>
              <w:tc>
                <w:tcPr>
                  <w:tcW w:w="993" w:type="dxa"/>
                  <w:vAlign w:val="center"/>
                </w:tcPr>
                <w:p>
                  <w:pPr>
                    <w:jc w:val="center"/>
                    <w:rPr>
                      <w:szCs w:val="21"/>
                    </w:rPr>
                  </w:pPr>
                  <w:r>
                    <w:rPr>
                      <w:rFonts w:hint="eastAsia"/>
                      <w:szCs w:val="21"/>
                    </w:rPr>
                    <w:t>0.004</w:t>
                  </w:r>
                </w:p>
              </w:tc>
              <w:tc>
                <w:tcPr>
                  <w:tcW w:w="1275" w:type="dxa"/>
                  <w:vMerge w:val="continue"/>
                  <w:vAlign w:val="center"/>
                </w:tcPr>
                <w:p>
                  <w:pPr>
                    <w:jc w:val="center"/>
                    <w:rPr>
                      <w:szCs w:val="21"/>
                    </w:rPr>
                  </w:pPr>
                </w:p>
              </w:tc>
              <w:tc>
                <w:tcPr>
                  <w:tcW w:w="1418" w:type="dxa"/>
                  <w:vMerge w:val="continue"/>
                  <w:vAlign w:val="center"/>
                </w:tcPr>
                <w:p>
                  <w:pPr>
                    <w:jc w:val="center"/>
                    <w:rPr>
                      <w:szCs w:val="21"/>
                    </w:rPr>
                  </w:pPr>
                </w:p>
              </w:tc>
              <w:tc>
                <w:tcPr>
                  <w:tcW w:w="1670"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5" w:hRule="atLeast"/>
              </w:trPr>
              <w:tc>
                <w:tcPr>
                  <w:tcW w:w="874" w:type="dxa"/>
                  <w:vMerge w:val="continue"/>
                  <w:vAlign w:val="center"/>
                </w:tcPr>
                <w:p>
                  <w:pPr>
                    <w:jc w:val="center"/>
                    <w:rPr>
                      <w:szCs w:val="21"/>
                    </w:rPr>
                  </w:pPr>
                </w:p>
              </w:tc>
              <w:tc>
                <w:tcPr>
                  <w:tcW w:w="850" w:type="dxa"/>
                  <w:vAlign w:val="center"/>
                </w:tcPr>
                <w:p>
                  <w:pPr>
                    <w:jc w:val="center"/>
                    <w:rPr>
                      <w:szCs w:val="21"/>
                      <w:vertAlign w:val="subscript"/>
                    </w:rPr>
                  </w:pPr>
                  <w:r>
                    <w:rPr>
                      <w:szCs w:val="21"/>
                    </w:rPr>
                    <w:t>NO</w:t>
                  </w:r>
                  <w:r>
                    <w:rPr>
                      <w:szCs w:val="21"/>
                      <w:vertAlign w:val="subscript"/>
                    </w:rPr>
                    <w:t>X</w:t>
                  </w:r>
                </w:p>
              </w:tc>
              <w:tc>
                <w:tcPr>
                  <w:tcW w:w="1134" w:type="dxa"/>
                  <w:vAlign w:val="center"/>
                </w:tcPr>
                <w:p>
                  <w:pPr>
                    <w:jc w:val="center"/>
                    <w:rPr>
                      <w:szCs w:val="21"/>
                    </w:rPr>
                  </w:pPr>
                  <w:r>
                    <w:rPr>
                      <w:rFonts w:hint="eastAsia"/>
                      <w:szCs w:val="21"/>
                    </w:rPr>
                    <w:t>160</w:t>
                  </w:r>
                </w:p>
              </w:tc>
              <w:tc>
                <w:tcPr>
                  <w:tcW w:w="993" w:type="dxa"/>
                  <w:vAlign w:val="center"/>
                </w:tcPr>
                <w:p>
                  <w:pPr>
                    <w:jc w:val="center"/>
                    <w:rPr>
                      <w:szCs w:val="21"/>
                    </w:rPr>
                  </w:pPr>
                  <w:r>
                    <w:rPr>
                      <w:szCs w:val="21"/>
                    </w:rPr>
                    <w:t>0.</w:t>
                  </w:r>
                  <w:r>
                    <w:rPr>
                      <w:rFonts w:hint="eastAsia"/>
                      <w:szCs w:val="21"/>
                    </w:rPr>
                    <w:t>208</w:t>
                  </w:r>
                </w:p>
              </w:tc>
              <w:tc>
                <w:tcPr>
                  <w:tcW w:w="1275" w:type="dxa"/>
                  <w:vMerge w:val="continue"/>
                  <w:vAlign w:val="center"/>
                </w:tcPr>
                <w:p>
                  <w:pPr>
                    <w:jc w:val="center"/>
                    <w:rPr>
                      <w:szCs w:val="21"/>
                    </w:rPr>
                  </w:pPr>
                </w:p>
              </w:tc>
              <w:tc>
                <w:tcPr>
                  <w:tcW w:w="1418" w:type="dxa"/>
                  <w:vMerge w:val="continue"/>
                  <w:vAlign w:val="center"/>
                </w:tcPr>
                <w:p>
                  <w:pPr>
                    <w:jc w:val="center"/>
                    <w:rPr>
                      <w:szCs w:val="21"/>
                    </w:rPr>
                  </w:pPr>
                </w:p>
              </w:tc>
              <w:tc>
                <w:tcPr>
                  <w:tcW w:w="1670"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6" w:hRule="atLeast"/>
              </w:trPr>
              <w:tc>
                <w:tcPr>
                  <w:tcW w:w="874" w:type="dxa"/>
                  <w:vMerge w:val="restart"/>
                  <w:vAlign w:val="center"/>
                </w:tcPr>
                <w:p>
                  <w:pPr>
                    <w:jc w:val="center"/>
                    <w:rPr>
                      <w:szCs w:val="21"/>
                    </w:rPr>
                  </w:pPr>
                  <w:r>
                    <w:rPr>
                      <w:szCs w:val="21"/>
                    </w:rPr>
                    <w:t>2#天然气加热炉</w:t>
                  </w:r>
                </w:p>
              </w:tc>
              <w:tc>
                <w:tcPr>
                  <w:tcW w:w="850" w:type="dxa"/>
                  <w:vAlign w:val="center"/>
                </w:tcPr>
                <w:p>
                  <w:pPr>
                    <w:jc w:val="center"/>
                    <w:rPr>
                      <w:szCs w:val="21"/>
                    </w:rPr>
                  </w:pPr>
                  <w:r>
                    <w:rPr>
                      <w:szCs w:val="21"/>
                    </w:rPr>
                    <w:t>烟尘</w:t>
                  </w:r>
                </w:p>
              </w:tc>
              <w:tc>
                <w:tcPr>
                  <w:tcW w:w="1134" w:type="dxa"/>
                  <w:vAlign w:val="center"/>
                </w:tcPr>
                <w:p>
                  <w:pPr>
                    <w:jc w:val="center"/>
                    <w:rPr>
                      <w:szCs w:val="21"/>
                    </w:rPr>
                  </w:pPr>
                  <w:r>
                    <w:rPr>
                      <w:rFonts w:hint="eastAsia"/>
                      <w:szCs w:val="21"/>
                    </w:rPr>
                    <w:t>20</w:t>
                  </w:r>
                </w:p>
              </w:tc>
              <w:tc>
                <w:tcPr>
                  <w:tcW w:w="993" w:type="dxa"/>
                  <w:vAlign w:val="center"/>
                </w:tcPr>
                <w:p>
                  <w:pPr>
                    <w:jc w:val="center"/>
                    <w:rPr>
                      <w:szCs w:val="21"/>
                    </w:rPr>
                  </w:pPr>
                  <w:r>
                    <w:rPr>
                      <w:rFonts w:hint="eastAsia"/>
                      <w:szCs w:val="21"/>
                    </w:rPr>
                    <w:t>0.052</w:t>
                  </w:r>
                </w:p>
              </w:tc>
              <w:tc>
                <w:tcPr>
                  <w:tcW w:w="1275" w:type="dxa"/>
                  <w:vMerge w:val="continue"/>
                  <w:vAlign w:val="center"/>
                </w:tcPr>
                <w:p>
                  <w:pPr>
                    <w:jc w:val="center"/>
                    <w:rPr>
                      <w:szCs w:val="21"/>
                    </w:rPr>
                  </w:pPr>
                </w:p>
              </w:tc>
              <w:tc>
                <w:tcPr>
                  <w:tcW w:w="1418" w:type="dxa"/>
                  <w:vMerge w:val="restart"/>
                  <w:vAlign w:val="center"/>
                </w:tcPr>
                <w:p>
                  <w:pPr>
                    <w:jc w:val="center"/>
                    <w:rPr>
                      <w:szCs w:val="21"/>
                    </w:rPr>
                  </w:pPr>
                  <w:r>
                    <w:rPr>
                      <w:szCs w:val="21"/>
                    </w:rPr>
                    <w:t>一套SCR脱硝装置，燃烧废气经处理后通过15m高排气筒排放，脱硝效率为</w:t>
                  </w:r>
                  <w:r>
                    <w:rPr>
                      <w:rFonts w:hint="eastAsia"/>
                      <w:szCs w:val="21"/>
                    </w:rPr>
                    <w:t>8</w:t>
                  </w:r>
                  <w:r>
                    <w:rPr>
                      <w:szCs w:val="21"/>
                    </w:rPr>
                    <w:t>0%</w:t>
                  </w:r>
                </w:p>
              </w:tc>
              <w:tc>
                <w:tcPr>
                  <w:tcW w:w="1670"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5" w:hRule="atLeast"/>
              </w:trPr>
              <w:tc>
                <w:tcPr>
                  <w:tcW w:w="874" w:type="dxa"/>
                  <w:vMerge w:val="continue"/>
                  <w:vAlign w:val="center"/>
                </w:tcPr>
                <w:p>
                  <w:pPr>
                    <w:jc w:val="center"/>
                    <w:rPr>
                      <w:szCs w:val="21"/>
                    </w:rPr>
                  </w:pPr>
                </w:p>
              </w:tc>
              <w:tc>
                <w:tcPr>
                  <w:tcW w:w="850" w:type="dxa"/>
                  <w:vAlign w:val="center"/>
                </w:tcPr>
                <w:p>
                  <w:pPr>
                    <w:jc w:val="center"/>
                    <w:rPr>
                      <w:szCs w:val="21"/>
                      <w:vertAlign w:val="subscript"/>
                    </w:rPr>
                  </w:pPr>
                  <w:r>
                    <w:rPr>
                      <w:szCs w:val="21"/>
                    </w:rPr>
                    <w:t>SO</w:t>
                  </w:r>
                  <w:r>
                    <w:rPr>
                      <w:szCs w:val="21"/>
                      <w:vertAlign w:val="subscript"/>
                    </w:rPr>
                    <w:t>2</w:t>
                  </w:r>
                </w:p>
              </w:tc>
              <w:tc>
                <w:tcPr>
                  <w:tcW w:w="1134" w:type="dxa"/>
                  <w:vAlign w:val="center"/>
                </w:tcPr>
                <w:p>
                  <w:pPr>
                    <w:jc w:val="center"/>
                    <w:rPr>
                      <w:szCs w:val="21"/>
                    </w:rPr>
                  </w:pPr>
                  <w:r>
                    <w:rPr>
                      <w:rFonts w:hint="eastAsia"/>
                      <w:szCs w:val="21"/>
                    </w:rPr>
                    <w:t>3.08</w:t>
                  </w:r>
                </w:p>
              </w:tc>
              <w:tc>
                <w:tcPr>
                  <w:tcW w:w="993" w:type="dxa"/>
                  <w:vAlign w:val="center"/>
                </w:tcPr>
                <w:p>
                  <w:pPr>
                    <w:jc w:val="center"/>
                    <w:rPr>
                      <w:szCs w:val="21"/>
                    </w:rPr>
                  </w:pPr>
                  <w:r>
                    <w:rPr>
                      <w:rFonts w:hint="eastAsia"/>
                      <w:szCs w:val="21"/>
                    </w:rPr>
                    <w:t>0.008</w:t>
                  </w:r>
                </w:p>
              </w:tc>
              <w:tc>
                <w:tcPr>
                  <w:tcW w:w="1275" w:type="dxa"/>
                  <w:vMerge w:val="continue"/>
                  <w:vAlign w:val="center"/>
                </w:tcPr>
                <w:p>
                  <w:pPr>
                    <w:jc w:val="center"/>
                    <w:rPr>
                      <w:szCs w:val="21"/>
                    </w:rPr>
                  </w:pPr>
                </w:p>
              </w:tc>
              <w:tc>
                <w:tcPr>
                  <w:tcW w:w="1418" w:type="dxa"/>
                  <w:vMerge w:val="continue"/>
                  <w:vAlign w:val="center"/>
                </w:tcPr>
                <w:p>
                  <w:pPr>
                    <w:jc w:val="center"/>
                    <w:rPr>
                      <w:szCs w:val="21"/>
                    </w:rPr>
                  </w:pPr>
                </w:p>
              </w:tc>
              <w:tc>
                <w:tcPr>
                  <w:tcW w:w="1670"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6" w:hRule="atLeast"/>
              </w:trPr>
              <w:tc>
                <w:tcPr>
                  <w:tcW w:w="874" w:type="dxa"/>
                  <w:vMerge w:val="continue"/>
                  <w:vAlign w:val="center"/>
                </w:tcPr>
                <w:p>
                  <w:pPr>
                    <w:jc w:val="center"/>
                    <w:rPr>
                      <w:szCs w:val="21"/>
                    </w:rPr>
                  </w:pPr>
                </w:p>
              </w:tc>
              <w:tc>
                <w:tcPr>
                  <w:tcW w:w="850" w:type="dxa"/>
                  <w:vAlign w:val="center"/>
                </w:tcPr>
                <w:p>
                  <w:pPr>
                    <w:jc w:val="center"/>
                    <w:rPr>
                      <w:szCs w:val="21"/>
                      <w:vertAlign w:val="subscript"/>
                    </w:rPr>
                  </w:pPr>
                  <w:r>
                    <w:rPr>
                      <w:szCs w:val="21"/>
                    </w:rPr>
                    <w:t>NO</w:t>
                  </w:r>
                  <w:r>
                    <w:rPr>
                      <w:szCs w:val="21"/>
                      <w:vertAlign w:val="subscript"/>
                    </w:rPr>
                    <w:t>X</w:t>
                  </w:r>
                </w:p>
              </w:tc>
              <w:tc>
                <w:tcPr>
                  <w:tcW w:w="1134" w:type="dxa"/>
                  <w:vAlign w:val="center"/>
                </w:tcPr>
                <w:p>
                  <w:pPr>
                    <w:jc w:val="center"/>
                    <w:rPr>
                      <w:szCs w:val="21"/>
                    </w:rPr>
                  </w:pPr>
                  <w:r>
                    <w:rPr>
                      <w:rFonts w:hint="eastAsia"/>
                      <w:szCs w:val="21"/>
                    </w:rPr>
                    <w:t>160</w:t>
                  </w:r>
                </w:p>
              </w:tc>
              <w:tc>
                <w:tcPr>
                  <w:tcW w:w="993" w:type="dxa"/>
                  <w:vAlign w:val="center"/>
                </w:tcPr>
                <w:p>
                  <w:pPr>
                    <w:jc w:val="center"/>
                    <w:rPr>
                      <w:szCs w:val="21"/>
                    </w:rPr>
                  </w:pPr>
                  <w:r>
                    <w:rPr>
                      <w:rFonts w:hint="eastAsia"/>
                      <w:szCs w:val="21"/>
                    </w:rPr>
                    <w:t>0.416</w:t>
                  </w:r>
                </w:p>
              </w:tc>
              <w:tc>
                <w:tcPr>
                  <w:tcW w:w="1275" w:type="dxa"/>
                  <w:vMerge w:val="continue"/>
                  <w:vAlign w:val="center"/>
                </w:tcPr>
                <w:p>
                  <w:pPr>
                    <w:jc w:val="center"/>
                    <w:rPr>
                      <w:szCs w:val="21"/>
                    </w:rPr>
                  </w:pPr>
                </w:p>
              </w:tc>
              <w:tc>
                <w:tcPr>
                  <w:tcW w:w="1418" w:type="dxa"/>
                  <w:vMerge w:val="continue"/>
                  <w:vAlign w:val="center"/>
                </w:tcPr>
                <w:p>
                  <w:pPr>
                    <w:jc w:val="center"/>
                    <w:rPr>
                      <w:szCs w:val="21"/>
                    </w:rPr>
                  </w:pPr>
                </w:p>
              </w:tc>
              <w:tc>
                <w:tcPr>
                  <w:tcW w:w="1670"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214" w:type="dxa"/>
                  <w:gridSpan w:val="7"/>
                  <w:vAlign w:val="center"/>
                </w:tcPr>
                <w:p>
                  <w:pPr>
                    <w:jc w:val="center"/>
                    <w:rPr>
                      <w:szCs w:val="21"/>
                    </w:rPr>
                  </w:pPr>
                  <w:r>
                    <w:rPr>
                      <w:szCs w:val="21"/>
                    </w:rPr>
                    <w:t>排放口基本情况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Align w:val="center"/>
                </w:tcPr>
                <w:p>
                  <w:pPr>
                    <w:jc w:val="center"/>
                    <w:rPr>
                      <w:szCs w:val="21"/>
                    </w:rPr>
                  </w:pPr>
                  <w:r>
                    <w:rPr>
                      <w:szCs w:val="21"/>
                    </w:rPr>
                    <w:t>高度</w:t>
                  </w:r>
                </w:p>
              </w:tc>
              <w:tc>
                <w:tcPr>
                  <w:tcW w:w="850" w:type="dxa"/>
                  <w:vAlign w:val="center"/>
                </w:tcPr>
                <w:p>
                  <w:pPr>
                    <w:jc w:val="center"/>
                    <w:rPr>
                      <w:szCs w:val="21"/>
                    </w:rPr>
                  </w:pPr>
                  <w:r>
                    <w:rPr>
                      <w:szCs w:val="21"/>
                    </w:rPr>
                    <w:t>排气筒内径</w:t>
                  </w:r>
                </w:p>
              </w:tc>
              <w:tc>
                <w:tcPr>
                  <w:tcW w:w="1134" w:type="dxa"/>
                  <w:vAlign w:val="center"/>
                </w:tcPr>
                <w:p>
                  <w:pPr>
                    <w:jc w:val="center"/>
                    <w:rPr>
                      <w:szCs w:val="21"/>
                    </w:rPr>
                  </w:pPr>
                  <w:r>
                    <w:rPr>
                      <w:szCs w:val="21"/>
                    </w:rPr>
                    <w:t>温度</w:t>
                  </w:r>
                </w:p>
              </w:tc>
              <w:tc>
                <w:tcPr>
                  <w:tcW w:w="993" w:type="dxa"/>
                  <w:vAlign w:val="center"/>
                </w:tcPr>
                <w:p>
                  <w:pPr>
                    <w:jc w:val="center"/>
                    <w:rPr>
                      <w:szCs w:val="21"/>
                    </w:rPr>
                  </w:pPr>
                  <w:r>
                    <w:rPr>
                      <w:szCs w:val="21"/>
                    </w:rPr>
                    <w:t>编号</w:t>
                  </w:r>
                </w:p>
              </w:tc>
              <w:tc>
                <w:tcPr>
                  <w:tcW w:w="1275" w:type="dxa"/>
                  <w:vAlign w:val="center"/>
                </w:tcPr>
                <w:p>
                  <w:pPr>
                    <w:jc w:val="center"/>
                    <w:rPr>
                      <w:szCs w:val="21"/>
                    </w:rPr>
                  </w:pPr>
                  <w:r>
                    <w:rPr>
                      <w:szCs w:val="21"/>
                    </w:rPr>
                    <w:t>名称</w:t>
                  </w:r>
                </w:p>
              </w:tc>
              <w:tc>
                <w:tcPr>
                  <w:tcW w:w="1418" w:type="dxa"/>
                  <w:vAlign w:val="center"/>
                </w:tcPr>
                <w:p>
                  <w:pPr>
                    <w:jc w:val="center"/>
                    <w:rPr>
                      <w:szCs w:val="21"/>
                    </w:rPr>
                  </w:pPr>
                  <w:r>
                    <w:rPr>
                      <w:szCs w:val="21"/>
                    </w:rPr>
                    <w:t>类型</w:t>
                  </w:r>
                </w:p>
              </w:tc>
              <w:tc>
                <w:tcPr>
                  <w:tcW w:w="1670" w:type="dxa"/>
                  <w:vAlign w:val="center"/>
                </w:tcPr>
                <w:p>
                  <w:pPr>
                    <w:jc w:val="center"/>
                    <w:rPr>
                      <w:szCs w:val="21"/>
                    </w:rPr>
                  </w:pPr>
                  <w:r>
                    <w:rPr>
                      <w:szCs w:val="21"/>
                    </w:rPr>
                    <w:t>地理坐标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Align w:val="center"/>
                </w:tcPr>
                <w:p>
                  <w:pPr>
                    <w:jc w:val="center"/>
                    <w:rPr>
                      <w:szCs w:val="21"/>
                    </w:rPr>
                  </w:pPr>
                  <w:r>
                    <w:rPr>
                      <w:szCs w:val="21"/>
                    </w:rPr>
                    <w:t>15m</w:t>
                  </w:r>
                </w:p>
              </w:tc>
              <w:tc>
                <w:tcPr>
                  <w:tcW w:w="850" w:type="dxa"/>
                  <w:vAlign w:val="center"/>
                </w:tcPr>
                <w:p>
                  <w:pPr>
                    <w:jc w:val="center"/>
                    <w:rPr>
                      <w:szCs w:val="21"/>
                    </w:rPr>
                  </w:pPr>
                  <w:r>
                    <w:rPr>
                      <w:szCs w:val="21"/>
                    </w:rPr>
                    <w:t>0.3m</w:t>
                  </w:r>
                </w:p>
              </w:tc>
              <w:tc>
                <w:tcPr>
                  <w:tcW w:w="1134" w:type="dxa"/>
                  <w:vAlign w:val="center"/>
                </w:tcPr>
                <w:p>
                  <w:pPr>
                    <w:jc w:val="center"/>
                    <w:rPr>
                      <w:szCs w:val="21"/>
                    </w:rPr>
                  </w:pPr>
                  <w:r>
                    <w:rPr>
                      <w:szCs w:val="21"/>
                    </w:rPr>
                    <w:t>&lt;100℃</w:t>
                  </w:r>
                </w:p>
              </w:tc>
              <w:tc>
                <w:tcPr>
                  <w:tcW w:w="993" w:type="dxa"/>
                  <w:vAlign w:val="center"/>
                </w:tcPr>
                <w:p>
                  <w:pPr>
                    <w:jc w:val="center"/>
                    <w:rPr>
                      <w:szCs w:val="21"/>
                    </w:rPr>
                  </w:pPr>
                  <w:r>
                    <w:rPr>
                      <w:szCs w:val="21"/>
                    </w:rPr>
                    <w:t>DA001</w:t>
                  </w:r>
                </w:p>
              </w:tc>
              <w:tc>
                <w:tcPr>
                  <w:tcW w:w="1275" w:type="dxa"/>
                  <w:vAlign w:val="center"/>
                </w:tcPr>
                <w:p>
                  <w:pPr>
                    <w:jc w:val="center"/>
                    <w:rPr>
                      <w:spacing w:val="-20"/>
                      <w:szCs w:val="21"/>
                    </w:rPr>
                  </w:pPr>
                  <w:r>
                    <w:rPr>
                      <w:spacing w:val="-20"/>
                      <w:szCs w:val="21"/>
                    </w:rPr>
                    <w:t>1#天然气加热炉废气排放口</w:t>
                  </w:r>
                </w:p>
              </w:tc>
              <w:tc>
                <w:tcPr>
                  <w:tcW w:w="1418" w:type="dxa"/>
                  <w:vMerge w:val="restart"/>
                  <w:vAlign w:val="center"/>
                </w:tcPr>
                <w:p>
                  <w:pPr>
                    <w:jc w:val="center"/>
                    <w:rPr>
                      <w:szCs w:val="21"/>
                    </w:rPr>
                  </w:pPr>
                  <w:r>
                    <w:rPr>
                      <w:szCs w:val="21"/>
                    </w:rPr>
                    <w:t>主要排放口</w:t>
                  </w:r>
                </w:p>
              </w:tc>
              <w:tc>
                <w:tcPr>
                  <w:tcW w:w="1670" w:type="dxa"/>
                  <w:vAlign w:val="center"/>
                </w:tcPr>
                <w:p>
                  <w:pPr>
                    <w:jc w:val="center"/>
                    <w:rPr>
                      <w:szCs w:val="21"/>
                    </w:rPr>
                  </w:pPr>
                  <w:r>
                    <w:rPr>
                      <w:szCs w:val="21"/>
                    </w:rPr>
                    <w:t>112°59′37.680″</w:t>
                  </w:r>
                </w:p>
                <w:p>
                  <w:pPr>
                    <w:jc w:val="center"/>
                    <w:rPr>
                      <w:szCs w:val="21"/>
                    </w:rPr>
                  </w:pPr>
                  <w:r>
                    <w:rPr>
                      <w:szCs w:val="21"/>
                    </w:rPr>
                    <w:t>38°27′13.332″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4" w:type="dxa"/>
                  <w:vAlign w:val="center"/>
                </w:tcPr>
                <w:p>
                  <w:pPr>
                    <w:jc w:val="center"/>
                    <w:rPr>
                      <w:szCs w:val="21"/>
                    </w:rPr>
                  </w:pPr>
                  <w:r>
                    <w:rPr>
                      <w:szCs w:val="21"/>
                    </w:rPr>
                    <w:t>15m</w:t>
                  </w:r>
                </w:p>
              </w:tc>
              <w:tc>
                <w:tcPr>
                  <w:tcW w:w="850" w:type="dxa"/>
                  <w:vAlign w:val="center"/>
                </w:tcPr>
                <w:p>
                  <w:pPr>
                    <w:jc w:val="center"/>
                    <w:rPr>
                      <w:szCs w:val="21"/>
                    </w:rPr>
                  </w:pPr>
                  <w:r>
                    <w:rPr>
                      <w:szCs w:val="21"/>
                    </w:rPr>
                    <w:t>0.3m</w:t>
                  </w:r>
                </w:p>
              </w:tc>
              <w:tc>
                <w:tcPr>
                  <w:tcW w:w="1134" w:type="dxa"/>
                  <w:vAlign w:val="center"/>
                </w:tcPr>
                <w:p>
                  <w:pPr>
                    <w:jc w:val="center"/>
                    <w:rPr>
                      <w:szCs w:val="21"/>
                    </w:rPr>
                  </w:pPr>
                  <w:r>
                    <w:rPr>
                      <w:szCs w:val="21"/>
                    </w:rPr>
                    <w:t>&lt;100℃</w:t>
                  </w:r>
                </w:p>
              </w:tc>
              <w:tc>
                <w:tcPr>
                  <w:tcW w:w="993" w:type="dxa"/>
                  <w:vAlign w:val="center"/>
                </w:tcPr>
                <w:p>
                  <w:pPr>
                    <w:jc w:val="center"/>
                    <w:rPr>
                      <w:szCs w:val="21"/>
                    </w:rPr>
                  </w:pPr>
                  <w:r>
                    <w:rPr>
                      <w:szCs w:val="21"/>
                    </w:rPr>
                    <w:t>DA002</w:t>
                  </w:r>
                </w:p>
              </w:tc>
              <w:tc>
                <w:tcPr>
                  <w:tcW w:w="1275" w:type="dxa"/>
                  <w:vAlign w:val="center"/>
                </w:tcPr>
                <w:p>
                  <w:pPr>
                    <w:jc w:val="center"/>
                    <w:rPr>
                      <w:spacing w:val="-20"/>
                      <w:szCs w:val="21"/>
                    </w:rPr>
                  </w:pPr>
                  <w:r>
                    <w:rPr>
                      <w:spacing w:val="-20"/>
                      <w:szCs w:val="21"/>
                    </w:rPr>
                    <w:t>2#天然气加热炉废气排放口</w:t>
                  </w:r>
                </w:p>
              </w:tc>
              <w:tc>
                <w:tcPr>
                  <w:tcW w:w="1418" w:type="dxa"/>
                  <w:vMerge w:val="continue"/>
                  <w:vAlign w:val="center"/>
                </w:tcPr>
                <w:p>
                  <w:pPr>
                    <w:jc w:val="center"/>
                    <w:rPr>
                      <w:szCs w:val="21"/>
                    </w:rPr>
                  </w:pPr>
                </w:p>
              </w:tc>
              <w:tc>
                <w:tcPr>
                  <w:tcW w:w="1670" w:type="dxa"/>
                  <w:vAlign w:val="center"/>
                </w:tcPr>
                <w:p>
                  <w:pPr>
                    <w:jc w:val="center"/>
                    <w:rPr>
                      <w:szCs w:val="21"/>
                    </w:rPr>
                  </w:pPr>
                  <w:r>
                    <w:rPr>
                      <w:szCs w:val="21"/>
                    </w:rPr>
                    <w:t>112°59′38.737″</w:t>
                  </w:r>
                </w:p>
                <w:p>
                  <w:pPr>
                    <w:jc w:val="center"/>
                    <w:rPr>
                      <w:szCs w:val="21"/>
                    </w:rPr>
                  </w:pPr>
                  <w:r>
                    <w:rPr>
                      <w:szCs w:val="21"/>
                    </w:rPr>
                    <w:t>38°27′12.867″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851" w:type="dxa"/>
                  <w:gridSpan w:val="4"/>
                  <w:vMerge w:val="restart"/>
                  <w:vAlign w:val="center"/>
                </w:tcPr>
                <w:p>
                  <w:pPr>
                    <w:jc w:val="center"/>
                    <w:rPr>
                      <w:szCs w:val="21"/>
                    </w:rPr>
                  </w:pPr>
                  <w:r>
                    <w:rPr>
                      <w:szCs w:val="21"/>
                    </w:rPr>
                    <w:t>排放标准</w:t>
                  </w:r>
                </w:p>
              </w:tc>
              <w:tc>
                <w:tcPr>
                  <w:tcW w:w="4363" w:type="dxa"/>
                  <w:gridSpan w:val="3"/>
                  <w:vAlign w:val="center"/>
                </w:tcPr>
                <w:p>
                  <w:pPr>
                    <w:jc w:val="center"/>
                    <w:rPr>
                      <w:szCs w:val="21"/>
                    </w:rPr>
                  </w:pPr>
                  <w:r>
                    <w:rPr>
                      <w:szCs w:val="21"/>
                    </w:rPr>
                    <w:t>监测要求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851" w:type="dxa"/>
                  <w:gridSpan w:val="4"/>
                  <w:vMerge w:val="continue"/>
                  <w:vAlign w:val="center"/>
                </w:tcPr>
                <w:p>
                  <w:pPr>
                    <w:jc w:val="center"/>
                    <w:rPr>
                      <w:szCs w:val="21"/>
                    </w:rPr>
                  </w:pPr>
                </w:p>
              </w:tc>
              <w:tc>
                <w:tcPr>
                  <w:tcW w:w="1275" w:type="dxa"/>
                  <w:vAlign w:val="center"/>
                </w:tcPr>
                <w:p>
                  <w:pPr>
                    <w:jc w:val="center"/>
                    <w:rPr>
                      <w:szCs w:val="21"/>
                    </w:rPr>
                  </w:pPr>
                  <w:r>
                    <w:rPr>
                      <w:szCs w:val="21"/>
                    </w:rPr>
                    <w:t>监测点位</w:t>
                  </w:r>
                </w:p>
              </w:tc>
              <w:tc>
                <w:tcPr>
                  <w:tcW w:w="1418" w:type="dxa"/>
                  <w:vAlign w:val="center"/>
                </w:tcPr>
                <w:p>
                  <w:pPr>
                    <w:jc w:val="center"/>
                    <w:rPr>
                      <w:szCs w:val="21"/>
                    </w:rPr>
                  </w:pPr>
                  <w:r>
                    <w:rPr>
                      <w:szCs w:val="21"/>
                    </w:rPr>
                    <w:t>监测因子</w:t>
                  </w:r>
                </w:p>
              </w:tc>
              <w:tc>
                <w:tcPr>
                  <w:tcW w:w="1670" w:type="dxa"/>
                  <w:vAlign w:val="center"/>
                </w:tcPr>
                <w:p>
                  <w:pPr>
                    <w:jc w:val="center"/>
                    <w:rPr>
                      <w:szCs w:val="21"/>
                    </w:rPr>
                  </w:pPr>
                  <w:r>
                    <w:rPr>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851" w:type="dxa"/>
                  <w:gridSpan w:val="4"/>
                  <w:vMerge w:val="restart"/>
                  <w:vAlign w:val="center"/>
                </w:tcPr>
                <w:p>
                  <w:pPr>
                    <w:jc w:val="center"/>
                    <w:rPr>
                      <w:szCs w:val="21"/>
                    </w:rPr>
                  </w:pPr>
                  <w:r>
                    <w:rPr>
                      <w:szCs w:val="21"/>
                    </w:rPr>
                    <w:t>《山西省工业炉窑大气污染综合治理实施方案》</w:t>
                  </w:r>
                </w:p>
              </w:tc>
              <w:tc>
                <w:tcPr>
                  <w:tcW w:w="1275" w:type="dxa"/>
                  <w:vAlign w:val="center"/>
                </w:tcPr>
                <w:p>
                  <w:pPr>
                    <w:jc w:val="center"/>
                    <w:rPr>
                      <w:szCs w:val="21"/>
                    </w:rPr>
                  </w:pPr>
                  <w:r>
                    <w:rPr>
                      <w:szCs w:val="21"/>
                    </w:rPr>
                    <w:t>1#脱硝装置排气筒出口</w:t>
                  </w:r>
                </w:p>
              </w:tc>
              <w:tc>
                <w:tcPr>
                  <w:tcW w:w="1418" w:type="dxa"/>
                  <w:vMerge w:val="restart"/>
                  <w:vAlign w:val="center"/>
                </w:tcPr>
                <w:p>
                  <w:pPr>
                    <w:jc w:val="center"/>
                    <w:rPr>
                      <w:szCs w:val="21"/>
                    </w:rPr>
                  </w:pPr>
                  <w:r>
                    <w:rPr>
                      <w:szCs w:val="21"/>
                    </w:rPr>
                    <w:t>烟尘、SO</w:t>
                  </w:r>
                  <w:r>
                    <w:rPr>
                      <w:szCs w:val="21"/>
                      <w:vertAlign w:val="subscript"/>
                    </w:rPr>
                    <w:t>2</w:t>
                  </w:r>
                  <w:r>
                    <w:rPr>
                      <w:szCs w:val="21"/>
                    </w:rPr>
                    <w:t>、NO</w:t>
                  </w:r>
                  <w:r>
                    <w:rPr>
                      <w:szCs w:val="21"/>
                      <w:vertAlign w:val="subscript"/>
                    </w:rPr>
                    <w:t>X</w:t>
                  </w:r>
                </w:p>
              </w:tc>
              <w:tc>
                <w:tcPr>
                  <w:tcW w:w="1670" w:type="dxa"/>
                  <w:vMerge w:val="restart"/>
                  <w:vAlign w:val="center"/>
                </w:tcPr>
                <w:p>
                  <w:pPr>
                    <w:jc w:val="center"/>
                    <w:rPr>
                      <w:szCs w:val="21"/>
                    </w:rPr>
                  </w:pPr>
                  <w:r>
                    <w:rPr>
                      <w:szCs w:val="21"/>
                    </w:rPr>
                    <w:t>每半年监测一次，每次一天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851" w:type="dxa"/>
                  <w:gridSpan w:val="4"/>
                  <w:vMerge w:val="continue"/>
                  <w:vAlign w:val="center"/>
                </w:tcPr>
                <w:p>
                  <w:pPr>
                    <w:jc w:val="center"/>
                    <w:rPr>
                      <w:spacing w:val="-18"/>
                      <w:szCs w:val="21"/>
                    </w:rPr>
                  </w:pPr>
                </w:p>
              </w:tc>
              <w:tc>
                <w:tcPr>
                  <w:tcW w:w="1275" w:type="dxa"/>
                  <w:vAlign w:val="center"/>
                </w:tcPr>
                <w:p>
                  <w:pPr>
                    <w:jc w:val="center"/>
                    <w:rPr>
                      <w:szCs w:val="21"/>
                    </w:rPr>
                  </w:pPr>
                  <w:r>
                    <w:rPr>
                      <w:szCs w:val="21"/>
                    </w:rPr>
                    <w:t>2#脱硝装置排气筒出口</w:t>
                  </w:r>
                </w:p>
              </w:tc>
              <w:tc>
                <w:tcPr>
                  <w:tcW w:w="1418" w:type="dxa"/>
                  <w:vMerge w:val="continue"/>
                  <w:vAlign w:val="center"/>
                </w:tcPr>
                <w:p>
                  <w:pPr>
                    <w:jc w:val="center"/>
                    <w:rPr>
                      <w:szCs w:val="21"/>
                    </w:rPr>
                  </w:pPr>
                </w:p>
              </w:tc>
              <w:tc>
                <w:tcPr>
                  <w:tcW w:w="1670" w:type="dxa"/>
                  <w:vMerge w:val="continue"/>
                  <w:vAlign w:val="center"/>
                </w:tcPr>
                <w:p>
                  <w:pPr>
                    <w:jc w:val="center"/>
                    <w:rPr>
                      <w:szCs w:val="21"/>
                    </w:rPr>
                  </w:pPr>
                </w:p>
              </w:tc>
            </w:tr>
          </w:tbl>
          <w:p>
            <w:pPr>
              <w:spacing w:line="360" w:lineRule="auto"/>
              <w:ind w:firstLine="482" w:firstLineChars="200"/>
              <w:rPr>
                <w:b/>
                <w:bCs/>
                <w:sz w:val="24"/>
              </w:rPr>
            </w:pPr>
            <w:r>
              <w:rPr>
                <w:b/>
                <w:bCs/>
                <w:sz w:val="24"/>
              </w:rPr>
              <w:t>1、一期工程大气污染源强核算：</w:t>
            </w:r>
          </w:p>
          <w:p>
            <w:pPr>
              <w:spacing w:line="360" w:lineRule="auto"/>
              <w:ind w:firstLine="480" w:firstLineChars="200"/>
              <w:rPr>
                <w:sz w:val="24"/>
              </w:rPr>
            </w:pPr>
            <w:r>
              <w:rPr>
                <w:sz w:val="24"/>
              </w:rPr>
              <w:t>本项目产生的大气污染物为天然气加热炉产生的废气，主要污染物为烟尘、SO</w:t>
            </w:r>
            <w:r>
              <w:rPr>
                <w:sz w:val="24"/>
                <w:vertAlign w:val="subscript"/>
              </w:rPr>
              <w:t>2</w:t>
            </w:r>
            <w:r>
              <w:rPr>
                <w:sz w:val="24"/>
              </w:rPr>
              <w:t>、NO</w:t>
            </w:r>
            <w:r>
              <w:rPr>
                <w:sz w:val="24"/>
                <w:vertAlign w:val="subscript"/>
              </w:rPr>
              <w:t>X</w:t>
            </w:r>
            <w:r>
              <w:rPr>
                <w:sz w:val="24"/>
              </w:rPr>
              <w:t>。</w:t>
            </w:r>
          </w:p>
          <w:p>
            <w:pPr>
              <w:spacing w:line="360" w:lineRule="auto"/>
              <w:ind w:firstLine="480" w:firstLineChars="200"/>
              <w:rPr>
                <w:sz w:val="24"/>
              </w:rPr>
            </w:pPr>
            <w:r>
              <w:rPr>
                <w:sz w:val="24"/>
              </w:rPr>
              <w:t>（1）用气量计算</w:t>
            </w:r>
          </w:p>
          <w:p>
            <w:pPr>
              <w:spacing w:line="360" w:lineRule="auto"/>
              <w:ind w:firstLine="480" w:firstLineChars="200"/>
              <w:rPr>
                <w:sz w:val="24"/>
              </w:rPr>
            </w:pPr>
            <w:r>
              <w:rPr>
                <w:sz w:val="24"/>
              </w:rPr>
              <w:t>本工程原料加热过程采用天然气加热炉，天然气由山西国新定襄燃气有限公司管道天然气提供，天然气是轻烃气体燃料，是清洁能源，主要成份是甲烷和乙烷，约占97％以上。</w:t>
            </w:r>
          </w:p>
          <w:p>
            <w:pPr>
              <w:spacing w:line="360" w:lineRule="auto"/>
              <w:ind w:firstLine="480" w:firstLineChars="200"/>
              <w:rPr>
                <w:sz w:val="24"/>
              </w:rPr>
            </w:pPr>
            <w:r>
              <w:rPr>
                <w:sz w:val="24"/>
              </w:rPr>
              <w:t>根据类比定襄同类型企业得知，本项目生产一吨成品需用天然气量约100Nm</w:t>
            </w:r>
            <w:r>
              <w:rPr>
                <w:sz w:val="24"/>
                <w:vertAlign w:val="superscript"/>
              </w:rPr>
              <w:t>3</w:t>
            </w:r>
            <w:r>
              <w:rPr>
                <w:sz w:val="24"/>
              </w:rPr>
              <w:t>，一期工程年产1000t/a锻件、法兰，一期用气量1×10</w:t>
            </w:r>
            <w:r>
              <w:rPr>
                <w:rFonts w:hint="eastAsia"/>
                <w:sz w:val="24"/>
                <w:vertAlign w:val="superscript"/>
              </w:rPr>
              <w:t>5</w:t>
            </w:r>
            <w:r>
              <w:rPr>
                <w:sz w:val="24"/>
              </w:rPr>
              <w:t>Nm</w:t>
            </w:r>
            <w:r>
              <w:rPr>
                <w:sz w:val="24"/>
                <w:vertAlign w:val="superscript"/>
              </w:rPr>
              <w:t>3</w:t>
            </w:r>
            <w:r>
              <w:rPr>
                <w:sz w:val="24"/>
              </w:rPr>
              <w:t>/a。</w:t>
            </w:r>
          </w:p>
          <w:p>
            <w:pPr>
              <w:spacing w:line="360" w:lineRule="auto"/>
              <w:ind w:firstLine="480" w:firstLineChars="200"/>
              <w:rPr>
                <w:sz w:val="24"/>
              </w:rPr>
            </w:pPr>
            <w:r>
              <w:rPr>
                <w:sz w:val="24"/>
              </w:rPr>
              <w:t>（2）烟气量计算</w:t>
            </w:r>
          </w:p>
          <w:p>
            <w:pPr>
              <w:spacing w:line="360" w:lineRule="auto"/>
              <w:ind w:firstLine="480" w:firstLineChars="200"/>
              <w:rPr>
                <w:sz w:val="24"/>
              </w:rPr>
            </w:pPr>
            <w:r>
              <w:rPr>
                <w:sz w:val="24"/>
              </w:rPr>
              <w:t>根据天然气成分指标并结合加热炉的燃烧方式和燃烧温度，天然气加热炉烟气产生量经验值为13Nm</w:t>
            </w:r>
            <w:r>
              <w:rPr>
                <w:sz w:val="24"/>
                <w:vertAlign w:val="superscript"/>
              </w:rPr>
              <w:t>3</w:t>
            </w:r>
            <w:r>
              <w:rPr>
                <w:sz w:val="24"/>
              </w:rPr>
              <w:t>/m</w:t>
            </w:r>
            <w:r>
              <w:rPr>
                <w:sz w:val="24"/>
                <w:vertAlign w:val="superscript"/>
              </w:rPr>
              <w:t>3</w:t>
            </w:r>
            <w:r>
              <w:rPr>
                <w:sz w:val="24"/>
              </w:rPr>
              <w:t>天然气，本项目一期天然气加热炉产生的烟气量为：1×10</w:t>
            </w:r>
            <w:r>
              <w:rPr>
                <w:rFonts w:hint="eastAsia"/>
                <w:sz w:val="24"/>
                <w:vertAlign w:val="superscript"/>
              </w:rPr>
              <w:t>5</w:t>
            </w:r>
            <w:r>
              <w:rPr>
                <w:sz w:val="24"/>
              </w:rPr>
              <w:t>Nm</w:t>
            </w:r>
            <w:r>
              <w:rPr>
                <w:sz w:val="24"/>
                <w:vertAlign w:val="superscript"/>
              </w:rPr>
              <w:t>3</w:t>
            </w:r>
            <w:r>
              <w:rPr>
                <w:sz w:val="24"/>
              </w:rPr>
              <w:t>/a×13Nm</w:t>
            </w:r>
            <w:r>
              <w:rPr>
                <w:sz w:val="24"/>
                <w:vertAlign w:val="superscript"/>
              </w:rPr>
              <w:t>3</w:t>
            </w:r>
            <w:r>
              <w:rPr>
                <w:rFonts w:hint="eastAsia"/>
                <w:sz w:val="24"/>
              </w:rPr>
              <w:t>/m</w:t>
            </w:r>
            <w:r>
              <w:rPr>
                <w:rFonts w:hint="eastAsia"/>
                <w:sz w:val="24"/>
                <w:vertAlign w:val="superscript"/>
              </w:rPr>
              <w:t>3</w:t>
            </w:r>
            <w:r>
              <w:rPr>
                <w:sz w:val="24"/>
              </w:rPr>
              <w:t>=1</w:t>
            </w:r>
            <w:r>
              <w:rPr>
                <w:rFonts w:hint="eastAsia"/>
                <w:sz w:val="24"/>
              </w:rPr>
              <w:t>.</w:t>
            </w:r>
            <w:r>
              <w:rPr>
                <w:sz w:val="24"/>
              </w:rPr>
              <w:t>3×10</w:t>
            </w:r>
            <w:r>
              <w:rPr>
                <w:rFonts w:hint="eastAsia"/>
                <w:sz w:val="24"/>
                <w:vertAlign w:val="superscript"/>
              </w:rPr>
              <w:t>6</w:t>
            </w:r>
            <w:r>
              <w:rPr>
                <w:sz w:val="24"/>
              </w:rPr>
              <w:t>Nm</w:t>
            </w:r>
            <w:r>
              <w:rPr>
                <w:sz w:val="24"/>
                <w:vertAlign w:val="superscript"/>
              </w:rPr>
              <w:t>3</w:t>
            </w:r>
            <w:r>
              <w:rPr>
                <w:sz w:val="24"/>
              </w:rPr>
              <w:t>/a。</w:t>
            </w:r>
          </w:p>
          <w:p>
            <w:pPr>
              <w:spacing w:line="360" w:lineRule="auto"/>
              <w:ind w:firstLine="480" w:firstLineChars="200"/>
              <w:rPr>
                <w:sz w:val="24"/>
              </w:rPr>
            </w:pPr>
            <w:r>
              <w:rPr>
                <w:sz w:val="24"/>
              </w:rPr>
              <w:t>（3）污染物计算</w:t>
            </w:r>
          </w:p>
          <w:p>
            <w:pPr>
              <w:spacing w:line="360" w:lineRule="auto"/>
              <w:ind w:firstLine="480" w:firstLineChars="200"/>
              <w:rPr>
                <w:sz w:val="24"/>
              </w:rPr>
            </w:pPr>
            <w:r>
              <w:rPr>
                <w:sz w:val="24"/>
              </w:rPr>
              <w:t>本次评价对氮氧化物和烟尘排放量计算采用类比法，对二氧化硫排放量计算采用物料衡算法。</w:t>
            </w:r>
          </w:p>
          <w:p>
            <w:pPr>
              <w:spacing w:line="360" w:lineRule="auto"/>
              <w:ind w:firstLine="480" w:firstLineChars="200"/>
              <w:rPr>
                <w:sz w:val="24"/>
              </w:rPr>
            </w:pPr>
            <w:r>
              <w:rPr>
                <w:rFonts w:hint="eastAsia" w:ascii="宋体" w:hAnsi="宋体" w:cs="宋体"/>
                <w:sz w:val="24"/>
              </w:rPr>
              <w:t>①</w:t>
            </w:r>
            <w:r>
              <w:rPr>
                <w:sz w:val="24"/>
              </w:rPr>
              <w:t>NO</w:t>
            </w:r>
            <w:r>
              <w:rPr>
                <w:sz w:val="24"/>
                <w:vertAlign w:val="subscript"/>
              </w:rPr>
              <w:t>X</w:t>
            </w:r>
            <w:r>
              <w:rPr>
                <w:sz w:val="24"/>
              </w:rPr>
              <w:t>计算</w:t>
            </w:r>
          </w:p>
          <w:p>
            <w:pPr>
              <w:spacing w:line="360" w:lineRule="auto"/>
              <w:ind w:firstLine="480" w:firstLineChars="200"/>
              <w:rPr>
                <w:sz w:val="24"/>
              </w:rPr>
            </w:pPr>
            <w:r>
              <w:rPr>
                <w:sz w:val="24"/>
              </w:rPr>
              <w:t>一期工程设置1台天然气加热炉，使用1套SCR脱硝装置。</w:t>
            </w:r>
          </w:p>
          <w:p>
            <w:pPr>
              <w:tabs>
                <w:tab w:val="left" w:pos="7380"/>
              </w:tabs>
              <w:adjustRightInd w:val="0"/>
              <w:spacing w:line="360" w:lineRule="auto"/>
              <w:ind w:firstLine="496"/>
              <w:rPr>
                <w:sz w:val="24"/>
                <w:szCs w:val="32"/>
              </w:rPr>
            </w:pPr>
            <w:r>
              <w:rPr>
                <w:sz w:val="24"/>
                <w:szCs w:val="32"/>
              </w:rPr>
              <w:t>本项目</w:t>
            </w:r>
            <w:r>
              <w:rPr>
                <w:rFonts w:hint="eastAsia"/>
                <w:sz w:val="24"/>
                <w:szCs w:val="32"/>
              </w:rPr>
              <w:t>NOx产生量采用类比计算，本次评价收集了《定襄县永巨锻造有限公司年产2000吨法兰盘及锻件燃煤加热炉改天然气加热炉环境保护项目竣工环境验收监测报告表》、</w:t>
            </w:r>
            <w:r>
              <w:rPr>
                <w:rFonts w:hint="eastAsia"/>
                <w:sz w:val="24"/>
              </w:rPr>
              <w:t>《定襄县腾顺锻造厂年产2000吨法兰盘生产线煤改气加热技术改造项目竣工环境保护验收监测报告表》</w:t>
            </w:r>
            <w:r>
              <w:rPr>
                <w:rFonts w:hint="eastAsia"/>
                <w:sz w:val="24"/>
                <w:szCs w:val="32"/>
              </w:rPr>
              <w:t>中天然气加热炉监测数据，定襄县永巨锻造有限公司、</w:t>
            </w:r>
            <w:r>
              <w:rPr>
                <w:rFonts w:hint="eastAsia"/>
                <w:sz w:val="24"/>
              </w:rPr>
              <w:t>定襄县腾顺锻造厂</w:t>
            </w:r>
            <w:r>
              <w:rPr>
                <w:rFonts w:hint="eastAsia"/>
                <w:sz w:val="24"/>
                <w:szCs w:val="32"/>
              </w:rPr>
              <w:t>采用单室蓄热式加热炉，与本项目炉型对比见表25，根据对比，除炉型大小存在略微差异外，结构形式及其他参数基本相同，因此，选用定襄县永巨锻造有限公司天然气加热炉作类比计算是可行的。</w:t>
            </w:r>
          </w:p>
          <w:p>
            <w:pPr>
              <w:jc w:val="center"/>
              <w:rPr>
                <w:b/>
                <w:bCs/>
                <w:szCs w:val="21"/>
              </w:rPr>
            </w:pPr>
            <w:r>
              <w:rPr>
                <w:b/>
                <w:bCs/>
                <w:szCs w:val="21"/>
              </w:rPr>
              <w:t>表2</w:t>
            </w:r>
            <w:r>
              <w:rPr>
                <w:rFonts w:hint="eastAsia"/>
                <w:b/>
                <w:bCs/>
                <w:szCs w:val="21"/>
              </w:rPr>
              <w:t>5</w:t>
            </w:r>
            <w:r>
              <w:rPr>
                <w:b/>
                <w:bCs/>
                <w:szCs w:val="21"/>
              </w:rPr>
              <w:t xml:space="preserve">  天然气加热炉</w:t>
            </w:r>
            <w:r>
              <w:rPr>
                <w:rFonts w:hint="eastAsia"/>
                <w:b/>
                <w:bCs/>
                <w:szCs w:val="21"/>
              </w:rPr>
              <w:t>类比</w:t>
            </w:r>
            <w:r>
              <w:rPr>
                <w:b/>
                <w:bCs/>
                <w:szCs w:val="21"/>
              </w:rPr>
              <w:t>分析表</w:t>
            </w:r>
          </w:p>
          <w:tbl>
            <w:tblPr>
              <w:tblStyle w:val="1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2"/>
              <w:gridCol w:w="2622"/>
              <w:gridCol w:w="2198"/>
              <w:gridCol w:w="22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52" w:type="dxa"/>
                  <w:vAlign w:val="center"/>
                </w:tcPr>
                <w:p>
                  <w:pPr>
                    <w:jc w:val="center"/>
                    <w:rPr>
                      <w:szCs w:val="21"/>
                    </w:rPr>
                  </w:pPr>
                  <w:r>
                    <w:rPr>
                      <w:szCs w:val="21"/>
                    </w:rPr>
                    <w:t>参数</w:t>
                  </w:r>
                </w:p>
              </w:tc>
              <w:tc>
                <w:tcPr>
                  <w:tcW w:w="2622" w:type="dxa"/>
                  <w:vAlign w:val="center"/>
                </w:tcPr>
                <w:p>
                  <w:pPr>
                    <w:jc w:val="center"/>
                    <w:rPr>
                      <w:szCs w:val="21"/>
                    </w:rPr>
                  </w:pPr>
                  <w:r>
                    <w:rPr>
                      <w:rFonts w:hint="eastAsia"/>
                      <w:szCs w:val="21"/>
                    </w:rPr>
                    <w:t>定襄</w:t>
                  </w:r>
                  <w:r>
                    <w:rPr>
                      <w:szCs w:val="21"/>
                    </w:rPr>
                    <w:t>县永巨锻造有限公司</w:t>
                  </w:r>
                  <w:r>
                    <w:rPr>
                      <w:rFonts w:hint="eastAsia"/>
                      <w:szCs w:val="21"/>
                    </w:rPr>
                    <w:t>（1台）</w:t>
                  </w:r>
                </w:p>
              </w:tc>
              <w:tc>
                <w:tcPr>
                  <w:tcW w:w="2198" w:type="dxa"/>
                  <w:vAlign w:val="center"/>
                </w:tcPr>
                <w:p>
                  <w:pPr>
                    <w:jc w:val="center"/>
                    <w:rPr>
                      <w:szCs w:val="21"/>
                    </w:rPr>
                  </w:pPr>
                  <w:r>
                    <w:rPr>
                      <w:rFonts w:hint="eastAsia"/>
                      <w:szCs w:val="21"/>
                    </w:rPr>
                    <w:t>定襄县</w:t>
                  </w:r>
                  <w:r>
                    <w:rPr>
                      <w:szCs w:val="21"/>
                    </w:rPr>
                    <w:t>腾顺锻造厂</w:t>
                  </w:r>
                </w:p>
                <w:p>
                  <w:pPr>
                    <w:jc w:val="center"/>
                    <w:rPr>
                      <w:szCs w:val="21"/>
                    </w:rPr>
                  </w:pPr>
                  <w:r>
                    <w:rPr>
                      <w:rFonts w:hint="eastAsia"/>
                      <w:szCs w:val="21"/>
                    </w:rPr>
                    <w:t>（1台）</w:t>
                  </w:r>
                </w:p>
              </w:tc>
              <w:tc>
                <w:tcPr>
                  <w:tcW w:w="2232" w:type="dxa"/>
                  <w:vAlign w:val="center"/>
                </w:tcPr>
                <w:p>
                  <w:pPr>
                    <w:jc w:val="center"/>
                    <w:rPr>
                      <w:szCs w:val="21"/>
                    </w:rPr>
                  </w:pPr>
                  <w:r>
                    <w:rPr>
                      <w:szCs w:val="21"/>
                    </w:rPr>
                    <w:t>本项目</w:t>
                  </w:r>
                  <w:r>
                    <w:rPr>
                      <w:rFonts w:hint="eastAsia"/>
                      <w:szCs w:val="21"/>
                    </w:rPr>
                    <w:t>（2台）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52" w:type="dxa"/>
                  <w:vAlign w:val="center"/>
                </w:tcPr>
                <w:p>
                  <w:pPr>
                    <w:jc w:val="center"/>
                    <w:rPr>
                      <w:szCs w:val="21"/>
                    </w:rPr>
                  </w:pPr>
                  <w:r>
                    <w:rPr>
                      <w:szCs w:val="21"/>
                    </w:rPr>
                    <w:t>炉型类型</w:t>
                  </w:r>
                </w:p>
              </w:tc>
              <w:tc>
                <w:tcPr>
                  <w:tcW w:w="2622" w:type="dxa"/>
                  <w:vAlign w:val="center"/>
                </w:tcPr>
                <w:p>
                  <w:pPr>
                    <w:jc w:val="center"/>
                    <w:rPr>
                      <w:szCs w:val="21"/>
                    </w:rPr>
                  </w:pPr>
                  <w:r>
                    <w:rPr>
                      <w:szCs w:val="21"/>
                    </w:rPr>
                    <w:t>蓄热式加热炉</w:t>
                  </w:r>
                </w:p>
              </w:tc>
              <w:tc>
                <w:tcPr>
                  <w:tcW w:w="2198" w:type="dxa"/>
                  <w:vAlign w:val="center"/>
                </w:tcPr>
                <w:p>
                  <w:pPr>
                    <w:jc w:val="center"/>
                    <w:rPr>
                      <w:szCs w:val="21"/>
                    </w:rPr>
                  </w:pPr>
                  <w:r>
                    <w:rPr>
                      <w:szCs w:val="21"/>
                    </w:rPr>
                    <w:t>蓄热式加热炉</w:t>
                  </w:r>
                </w:p>
              </w:tc>
              <w:tc>
                <w:tcPr>
                  <w:tcW w:w="2232" w:type="dxa"/>
                  <w:vAlign w:val="center"/>
                </w:tcPr>
                <w:p>
                  <w:pPr>
                    <w:jc w:val="center"/>
                    <w:rPr>
                      <w:szCs w:val="21"/>
                    </w:rPr>
                  </w:pPr>
                  <w:r>
                    <w:rPr>
                      <w:szCs w:val="21"/>
                    </w:rPr>
                    <w:t>蓄热式加热炉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52" w:type="dxa"/>
                  <w:vAlign w:val="center"/>
                </w:tcPr>
                <w:p>
                  <w:pPr>
                    <w:jc w:val="center"/>
                    <w:rPr>
                      <w:szCs w:val="21"/>
                    </w:rPr>
                  </w:pPr>
                  <w:r>
                    <w:rPr>
                      <w:szCs w:val="21"/>
                    </w:rPr>
                    <w:t>炉型结构</w:t>
                  </w:r>
                </w:p>
              </w:tc>
              <w:tc>
                <w:tcPr>
                  <w:tcW w:w="2622" w:type="dxa"/>
                  <w:vAlign w:val="center"/>
                </w:tcPr>
                <w:p>
                  <w:pPr>
                    <w:jc w:val="center"/>
                    <w:rPr>
                      <w:szCs w:val="21"/>
                    </w:rPr>
                  </w:pPr>
                  <w:r>
                    <w:rPr>
                      <w:szCs w:val="21"/>
                    </w:rPr>
                    <w:t>单室</w:t>
                  </w:r>
                </w:p>
              </w:tc>
              <w:tc>
                <w:tcPr>
                  <w:tcW w:w="2198" w:type="dxa"/>
                  <w:vAlign w:val="center"/>
                </w:tcPr>
                <w:p>
                  <w:pPr>
                    <w:jc w:val="center"/>
                    <w:rPr>
                      <w:szCs w:val="21"/>
                    </w:rPr>
                  </w:pPr>
                  <w:r>
                    <w:rPr>
                      <w:szCs w:val="21"/>
                    </w:rPr>
                    <w:t>单室</w:t>
                  </w:r>
                </w:p>
              </w:tc>
              <w:tc>
                <w:tcPr>
                  <w:tcW w:w="2232" w:type="dxa"/>
                  <w:vAlign w:val="center"/>
                </w:tcPr>
                <w:p>
                  <w:pPr>
                    <w:jc w:val="center"/>
                    <w:rPr>
                      <w:szCs w:val="21"/>
                    </w:rPr>
                  </w:pPr>
                  <w:r>
                    <w:rPr>
                      <w:szCs w:val="21"/>
                    </w:rPr>
                    <w:t>单室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52" w:type="dxa"/>
                  <w:vAlign w:val="center"/>
                </w:tcPr>
                <w:p>
                  <w:pPr>
                    <w:jc w:val="center"/>
                    <w:rPr>
                      <w:szCs w:val="21"/>
                    </w:rPr>
                  </w:pPr>
                  <w:r>
                    <w:rPr>
                      <w:szCs w:val="21"/>
                    </w:rPr>
                    <w:t>炉型大小</w:t>
                  </w:r>
                </w:p>
              </w:tc>
              <w:tc>
                <w:tcPr>
                  <w:tcW w:w="2622" w:type="dxa"/>
                  <w:vAlign w:val="center"/>
                </w:tcPr>
                <w:p>
                  <w:pPr>
                    <w:jc w:val="center"/>
                    <w:rPr>
                      <w:szCs w:val="21"/>
                    </w:rPr>
                  </w:pPr>
                  <w:r>
                    <w:rPr>
                      <w:szCs w:val="21"/>
                    </w:rPr>
                    <w:t>2.</w:t>
                  </w:r>
                  <w:r>
                    <w:rPr>
                      <w:rFonts w:hint="eastAsia"/>
                      <w:szCs w:val="21"/>
                    </w:rPr>
                    <w:t>5</w:t>
                  </w:r>
                  <w:r>
                    <w:rPr>
                      <w:szCs w:val="21"/>
                    </w:rPr>
                    <w:t>m×</w:t>
                  </w:r>
                  <w:r>
                    <w:rPr>
                      <w:rFonts w:hint="eastAsia"/>
                      <w:szCs w:val="21"/>
                    </w:rPr>
                    <w:t>2.5</w:t>
                  </w:r>
                  <w:r>
                    <w:rPr>
                      <w:szCs w:val="21"/>
                    </w:rPr>
                    <w:t>m×</w:t>
                  </w:r>
                  <w:r>
                    <w:rPr>
                      <w:rFonts w:hint="eastAsia"/>
                      <w:szCs w:val="21"/>
                    </w:rPr>
                    <w:t>1.1m</w:t>
                  </w:r>
                </w:p>
              </w:tc>
              <w:tc>
                <w:tcPr>
                  <w:tcW w:w="2198" w:type="dxa"/>
                  <w:vAlign w:val="center"/>
                </w:tcPr>
                <w:p>
                  <w:pPr>
                    <w:jc w:val="center"/>
                    <w:rPr>
                      <w:szCs w:val="21"/>
                    </w:rPr>
                  </w:pPr>
                  <w:r>
                    <w:rPr>
                      <w:szCs w:val="21"/>
                    </w:rPr>
                    <w:t>2</w:t>
                  </w:r>
                  <w:r>
                    <w:rPr>
                      <w:rFonts w:hint="eastAsia"/>
                      <w:szCs w:val="21"/>
                    </w:rPr>
                    <w:t>.5</w:t>
                  </w:r>
                  <w:r>
                    <w:rPr>
                      <w:szCs w:val="21"/>
                    </w:rPr>
                    <w:t>m×</w:t>
                  </w:r>
                  <w:r>
                    <w:rPr>
                      <w:rFonts w:hint="eastAsia"/>
                      <w:szCs w:val="21"/>
                    </w:rPr>
                    <w:t>2.5</w:t>
                  </w:r>
                  <w:r>
                    <w:rPr>
                      <w:szCs w:val="21"/>
                    </w:rPr>
                    <w:t>m×1</w:t>
                  </w:r>
                  <w:r>
                    <w:rPr>
                      <w:rFonts w:hint="eastAsia"/>
                      <w:szCs w:val="21"/>
                    </w:rPr>
                    <w:t>.1</w:t>
                  </w:r>
                  <w:r>
                    <w:rPr>
                      <w:szCs w:val="21"/>
                    </w:rPr>
                    <w:t>m</w:t>
                  </w:r>
                </w:p>
              </w:tc>
              <w:tc>
                <w:tcPr>
                  <w:tcW w:w="2232" w:type="dxa"/>
                  <w:vAlign w:val="center"/>
                </w:tcPr>
                <w:p>
                  <w:pPr>
                    <w:jc w:val="center"/>
                    <w:rPr>
                      <w:szCs w:val="21"/>
                    </w:rPr>
                  </w:pPr>
                  <w:r>
                    <w:rPr>
                      <w:szCs w:val="21"/>
                    </w:rPr>
                    <w:t>2.3m×2.1m×1.3m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1152" w:type="dxa"/>
                  <w:vAlign w:val="center"/>
                </w:tcPr>
                <w:p>
                  <w:pPr>
                    <w:jc w:val="center"/>
                    <w:rPr>
                      <w:szCs w:val="21"/>
                    </w:rPr>
                  </w:pPr>
                  <w:r>
                    <w:rPr>
                      <w:szCs w:val="21"/>
                    </w:rPr>
                    <w:t>燃料类型</w:t>
                  </w:r>
                </w:p>
              </w:tc>
              <w:tc>
                <w:tcPr>
                  <w:tcW w:w="2622" w:type="dxa"/>
                  <w:vAlign w:val="center"/>
                </w:tcPr>
                <w:p>
                  <w:pPr>
                    <w:jc w:val="center"/>
                    <w:rPr>
                      <w:szCs w:val="21"/>
                    </w:rPr>
                  </w:pPr>
                  <w:r>
                    <w:rPr>
                      <w:szCs w:val="21"/>
                    </w:rPr>
                    <w:t>天然气</w:t>
                  </w:r>
                </w:p>
              </w:tc>
              <w:tc>
                <w:tcPr>
                  <w:tcW w:w="2198" w:type="dxa"/>
                  <w:vAlign w:val="center"/>
                </w:tcPr>
                <w:p>
                  <w:pPr>
                    <w:jc w:val="center"/>
                    <w:rPr>
                      <w:szCs w:val="21"/>
                    </w:rPr>
                  </w:pPr>
                  <w:r>
                    <w:rPr>
                      <w:szCs w:val="21"/>
                    </w:rPr>
                    <w:t>天然气</w:t>
                  </w:r>
                </w:p>
              </w:tc>
              <w:tc>
                <w:tcPr>
                  <w:tcW w:w="2232" w:type="dxa"/>
                  <w:vAlign w:val="center"/>
                </w:tcPr>
                <w:p>
                  <w:pPr>
                    <w:jc w:val="center"/>
                    <w:rPr>
                      <w:szCs w:val="21"/>
                    </w:rPr>
                  </w:pPr>
                  <w:r>
                    <w:rPr>
                      <w:szCs w:val="21"/>
                    </w:rPr>
                    <w:t>天然气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52" w:type="dxa"/>
                  <w:vAlign w:val="center"/>
                </w:tcPr>
                <w:p>
                  <w:pPr>
                    <w:jc w:val="center"/>
                    <w:rPr>
                      <w:szCs w:val="21"/>
                    </w:rPr>
                  </w:pPr>
                  <w:r>
                    <w:rPr>
                      <w:szCs w:val="21"/>
                    </w:rPr>
                    <w:t>炉膛温度</w:t>
                  </w:r>
                </w:p>
              </w:tc>
              <w:tc>
                <w:tcPr>
                  <w:tcW w:w="2622" w:type="dxa"/>
                  <w:vAlign w:val="center"/>
                </w:tcPr>
                <w:p>
                  <w:pPr>
                    <w:jc w:val="center"/>
                    <w:rPr>
                      <w:szCs w:val="21"/>
                    </w:rPr>
                  </w:pPr>
                  <w:r>
                    <w:rPr>
                      <w:szCs w:val="21"/>
                    </w:rPr>
                    <w:t>1250℃</w:t>
                  </w:r>
                </w:p>
              </w:tc>
              <w:tc>
                <w:tcPr>
                  <w:tcW w:w="2198" w:type="dxa"/>
                  <w:vAlign w:val="center"/>
                </w:tcPr>
                <w:p>
                  <w:pPr>
                    <w:jc w:val="center"/>
                    <w:rPr>
                      <w:szCs w:val="21"/>
                    </w:rPr>
                  </w:pPr>
                  <w:r>
                    <w:rPr>
                      <w:szCs w:val="21"/>
                    </w:rPr>
                    <w:t>1250℃</w:t>
                  </w:r>
                </w:p>
              </w:tc>
              <w:tc>
                <w:tcPr>
                  <w:tcW w:w="2232" w:type="dxa"/>
                  <w:vAlign w:val="center"/>
                </w:tcPr>
                <w:p>
                  <w:pPr>
                    <w:jc w:val="center"/>
                    <w:rPr>
                      <w:szCs w:val="21"/>
                    </w:rPr>
                  </w:pPr>
                  <w:r>
                    <w:rPr>
                      <w:szCs w:val="21"/>
                    </w:rPr>
                    <w:t>1250℃</w:t>
                  </w:r>
                </w:p>
              </w:tc>
            </w:tr>
          </w:tbl>
          <w:p>
            <w:pPr>
              <w:tabs>
                <w:tab w:val="left" w:pos="7380"/>
              </w:tabs>
              <w:adjustRightInd w:val="0"/>
              <w:spacing w:line="360" w:lineRule="auto"/>
              <w:ind w:firstLine="496"/>
              <w:rPr>
                <w:spacing w:val="6"/>
                <w:sz w:val="24"/>
                <w:szCs w:val="32"/>
              </w:rPr>
            </w:pPr>
            <w:r>
              <w:rPr>
                <w:sz w:val="24"/>
                <w:szCs w:val="32"/>
              </w:rPr>
              <w:t>根据类比分析，</w:t>
            </w:r>
            <w:r>
              <w:rPr>
                <w:spacing w:val="6"/>
                <w:sz w:val="24"/>
                <w:szCs w:val="32"/>
              </w:rPr>
              <w:t>NO</w:t>
            </w:r>
            <w:r>
              <w:rPr>
                <w:spacing w:val="6"/>
                <w:sz w:val="24"/>
                <w:szCs w:val="32"/>
                <w:vertAlign w:val="subscript"/>
              </w:rPr>
              <w:t>X</w:t>
            </w:r>
            <w:r>
              <w:rPr>
                <w:spacing w:val="6"/>
                <w:sz w:val="24"/>
                <w:szCs w:val="32"/>
              </w:rPr>
              <w:t>的产生浓度均值浓度范围为</w:t>
            </w:r>
            <w:r>
              <w:rPr>
                <w:rFonts w:hint="eastAsia"/>
                <w:spacing w:val="6"/>
                <w:sz w:val="24"/>
                <w:szCs w:val="32"/>
              </w:rPr>
              <w:t>723.9</w:t>
            </w:r>
            <w:r>
              <w:rPr>
                <w:spacing w:val="6"/>
                <w:sz w:val="24"/>
                <w:szCs w:val="32"/>
              </w:rPr>
              <w:t>～</w:t>
            </w:r>
            <w:r>
              <w:rPr>
                <w:rFonts w:hint="eastAsia"/>
                <w:spacing w:val="6"/>
                <w:sz w:val="24"/>
                <w:szCs w:val="32"/>
              </w:rPr>
              <w:t>742.6</w:t>
            </w:r>
            <w:r>
              <w:rPr>
                <w:spacing w:val="6"/>
                <w:sz w:val="24"/>
                <w:szCs w:val="32"/>
              </w:rPr>
              <w:t>mg/m</w:t>
            </w:r>
            <w:r>
              <w:rPr>
                <w:spacing w:val="6"/>
                <w:sz w:val="24"/>
                <w:szCs w:val="32"/>
                <w:vertAlign w:val="superscript"/>
              </w:rPr>
              <w:t>3</w:t>
            </w:r>
            <w:r>
              <w:rPr>
                <w:spacing w:val="6"/>
                <w:sz w:val="24"/>
                <w:szCs w:val="32"/>
              </w:rPr>
              <w:t>，本次评价采用</w:t>
            </w:r>
            <w:r>
              <w:rPr>
                <w:rFonts w:hint="eastAsia"/>
                <w:spacing w:val="6"/>
                <w:sz w:val="24"/>
                <w:szCs w:val="32"/>
              </w:rPr>
              <w:t>800mg/m</w:t>
            </w:r>
            <w:r>
              <w:rPr>
                <w:rFonts w:hint="eastAsia"/>
                <w:spacing w:val="6"/>
                <w:sz w:val="24"/>
                <w:szCs w:val="32"/>
                <w:vertAlign w:val="superscript"/>
              </w:rPr>
              <w:t>3</w:t>
            </w:r>
            <w:r>
              <w:rPr>
                <w:rFonts w:hint="eastAsia"/>
                <w:spacing w:val="6"/>
                <w:sz w:val="24"/>
                <w:szCs w:val="32"/>
              </w:rPr>
              <w:t>，</w:t>
            </w:r>
            <w:r>
              <w:rPr>
                <w:spacing w:val="6"/>
                <w:sz w:val="24"/>
                <w:szCs w:val="32"/>
              </w:rPr>
              <w:t>则</w:t>
            </w:r>
            <w:r>
              <w:rPr>
                <w:rFonts w:hint="eastAsia"/>
                <w:spacing w:val="6"/>
                <w:sz w:val="24"/>
                <w:szCs w:val="32"/>
              </w:rPr>
              <w:t>NO</w:t>
            </w:r>
            <w:r>
              <w:rPr>
                <w:rFonts w:hint="eastAsia"/>
                <w:spacing w:val="6"/>
                <w:sz w:val="24"/>
                <w:szCs w:val="32"/>
                <w:vertAlign w:val="subscript"/>
              </w:rPr>
              <w:t>X</w:t>
            </w:r>
            <w:r>
              <w:rPr>
                <w:rFonts w:hint="eastAsia"/>
                <w:spacing w:val="6"/>
                <w:sz w:val="24"/>
                <w:szCs w:val="32"/>
              </w:rPr>
              <w:t>产生量为800mg/m</w:t>
            </w:r>
            <w:r>
              <w:rPr>
                <w:rFonts w:hint="eastAsia"/>
                <w:spacing w:val="6"/>
                <w:sz w:val="24"/>
                <w:szCs w:val="32"/>
                <w:vertAlign w:val="superscript"/>
              </w:rPr>
              <w:t>3</w:t>
            </w:r>
            <w:r>
              <w:rPr>
                <w:spacing w:val="6"/>
                <w:sz w:val="24"/>
                <w:szCs w:val="32"/>
              </w:rPr>
              <w:t>×1</w:t>
            </w:r>
            <w:r>
              <w:rPr>
                <w:rFonts w:hint="eastAsia"/>
                <w:spacing w:val="6"/>
                <w:sz w:val="24"/>
                <w:szCs w:val="32"/>
              </w:rPr>
              <w:t>.</w:t>
            </w:r>
            <w:r>
              <w:rPr>
                <w:spacing w:val="6"/>
                <w:sz w:val="24"/>
                <w:szCs w:val="32"/>
              </w:rPr>
              <w:t>3×10</w:t>
            </w:r>
            <w:r>
              <w:rPr>
                <w:rFonts w:hint="eastAsia"/>
                <w:spacing w:val="6"/>
                <w:sz w:val="24"/>
                <w:szCs w:val="32"/>
                <w:vertAlign w:val="superscript"/>
              </w:rPr>
              <w:t>6</w:t>
            </w:r>
            <w:r>
              <w:rPr>
                <w:spacing w:val="6"/>
                <w:sz w:val="24"/>
                <w:szCs w:val="32"/>
              </w:rPr>
              <w:t>Nm</w:t>
            </w:r>
            <w:r>
              <w:rPr>
                <w:spacing w:val="6"/>
                <w:sz w:val="24"/>
                <w:szCs w:val="32"/>
                <w:vertAlign w:val="superscript"/>
              </w:rPr>
              <w:t>3</w:t>
            </w:r>
            <w:r>
              <w:rPr>
                <w:rFonts w:hint="eastAsia"/>
                <w:spacing w:val="6"/>
                <w:sz w:val="24"/>
                <w:szCs w:val="32"/>
              </w:rPr>
              <w:t>=1.04t/a，</w:t>
            </w:r>
          </w:p>
          <w:p>
            <w:pPr>
              <w:spacing w:line="360" w:lineRule="auto"/>
              <w:ind w:firstLine="480" w:firstLineChars="200"/>
              <w:rPr>
                <w:spacing w:val="6"/>
                <w:sz w:val="24"/>
                <w:szCs w:val="32"/>
              </w:rPr>
            </w:pPr>
            <w:r>
              <w:rPr>
                <w:sz w:val="24"/>
              </w:rPr>
              <w:t>本项目烟气采用SCR脱硝方案，</w:t>
            </w:r>
            <w:r>
              <w:rPr>
                <w:sz w:val="24"/>
                <w:szCs w:val="32"/>
              </w:rPr>
              <w:t>SCR脱硝系统的脱硝效率按</w:t>
            </w:r>
            <w:r>
              <w:rPr>
                <w:rFonts w:hint="eastAsia"/>
                <w:sz w:val="24"/>
                <w:szCs w:val="32"/>
              </w:rPr>
              <w:t>80</w:t>
            </w:r>
            <w:r>
              <w:rPr>
                <w:sz w:val="24"/>
                <w:szCs w:val="32"/>
              </w:rPr>
              <w:t>%计算，</w:t>
            </w:r>
            <w:r>
              <w:rPr>
                <w:spacing w:val="6"/>
                <w:sz w:val="24"/>
                <w:szCs w:val="32"/>
              </w:rPr>
              <w:t>则排放浓度为800×（1-</w:t>
            </w:r>
            <w:r>
              <w:rPr>
                <w:rFonts w:hint="eastAsia"/>
                <w:spacing w:val="6"/>
                <w:sz w:val="24"/>
                <w:szCs w:val="32"/>
              </w:rPr>
              <w:t>80</w:t>
            </w:r>
            <w:r>
              <w:rPr>
                <w:spacing w:val="6"/>
                <w:sz w:val="24"/>
                <w:szCs w:val="32"/>
              </w:rPr>
              <w:t>%）=</w:t>
            </w:r>
            <w:r>
              <w:rPr>
                <w:rFonts w:hint="eastAsia"/>
                <w:spacing w:val="6"/>
                <w:sz w:val="24"/>
                <w:szCs w:val="32"/>
              </w:rPr>
              <w:t>160</w:t>
            </w:r>
            <w:r>
              <w:rPr>
                <w:spacing w:val="6"/>
                <w:sz w:val="24"/>
                <w:szCs w:val="32"/>
              </w:rPr>
              <w:t>mg/m</w:t>
            </w:r>
            <w:r>
              <w:rPr>
                <w:spacing w:val="6"/>
                <w:sz w:val="24"/>
                <w:szCs w:val="32"/>
                <w:vertAlign w:val="superscript"/>
              </w:rPr>
              <w:t>3</w:t>
            </w:r>
            <w:r>
              <w:rPr>
                <w:spacing w:val="6"/>
                <w:sz w:val="24"/>
                <w:szCs w:val="32"/>
              </w:rPr>
              <w:t>，则</w:t>
            </w:r>
          </w:p>
          <w:p>
            <w:pPr>
              <w:spacing w:line="360" w:lineRule="auto"/>
              <w:ind w:firstLine="504" w:firstLineChars="200"/>
              <w:rPr>
                <w:spacing w:val="6"/>
                <w:sz w:val="24"/>
                <w:szCs w:val="32"/>
              </w:rPr>
            </w:pPr>
            <w:r>
              <w:rPr>
                <w:spacing w:val="6"/>
                <w:sz w:val="24"/>
                <w:szCs w:val="32"/>
              </w:rPr>
              <w:t>天然气加热炉NO</w:t>
            </w:r>
            <w:r>
              <w:rPr>
                <w:spacing w:val="6"/>
                <w:sz w:val="24"/>
                <w:szCs w:val="32"/>
                <w:vertAlign w:val="subscript"/>
              </w:rPr>
              <w:t>X</w:t>
            </w:r>
            <w:r>
              <w:rPr>
                <w:spacing w:val="6"/>
                <w:sz w:val="24"/>
                <w:szCs w:val="32"/>
              </w:rPr>
              <w:t>排放量为</w:t>
            </w:r>
            <w:r>
              <w:rPr>
                <w:rFonts w:hint="eastAsia"/>
                <w:spacing w:val="6"/>
                <w:sz w:val="24"/>
                <w:szCs w:val="32"/>
              </w:rPr>
              <w:t>160</w:t>
            </w:r>
            <w:r>
              <w:rPr>
                <w:spacing w:val="6"/>
                <w:sz w:val="24"/>
                <w:szCs w:val="32"/>
              </w:rPr>
              <w:t>mg/m</w:t>
            </w:r>
            <w:r>
              <w:rPr>
                <w:spacing w:val="6"/>
                <w:sz w:val="24"/>
                <w:szCs w:val="32"/>
                <w:vertAlign w:val="superscript"/>
              </w:rPr>
              <w:t>3</w:t>
            </w:r>
            <w:r>
              <w:rPr>
                <w:spacing w:val="6"/>
                <w:sz w:val="24"/>
                <w:szCs w:val="32"/>
              </w:rPr>
              <w:t>×1</w:t>
            </w:r>
            <w:r>
              <w:rPr>
                <w:rFonts w:hint="eastAsia"/>
                <w:spacing w:val="6"/>
                <w:sz w:val="24"/>
                <w:szCs w:val="32"/>
              </w:rPr>
              <w:t>.</w:t>
            </w:r>
            <w:r>
              <w:rPr>
                <w:spacing w:val="6"/>
                <w:sz w:val="24"/>
                <w:szCs w:val="32"/>
              </w:rPr>
              <w:t>3×10</w:t>
            </w:r>
            <w:r>
              <w:rPr>
                <w:rFonts w:hint="eastAsia"/>
                <w:spacing w:val="6"/>
                <w:sz w:val="24"/>
                <w:szCs w:val="32"/>
                <w:vertAlign w:val="superscript"/>
              </w:rPr>
              <w:t>6</w:t>
            </w:r>
            <w:r>
              <w:rPr>
                <w:spacing w:val="6"/>
                <w:sz w:val="24"/>
                <w:szCs w:val="32"/>
              </w:rPr>
              <w:t>Nm</w:t>
            </w:r>
            <w:r>
              <w:rPr>
                <w:spacing w:val="6"/>
                <w:sz w:val="24"/>
                <w:szCs w:val="32"/>
                <w:vertAlign w:val="superscript"/>
              </w:rPr>
              <w:t>3</w:t>
            </w:r>
            <w:r>
              <w:rPr>
                <w:spacing w:val="6"/>
                <w:sz w:val="24"/>
                <w:szCs w:val="32"/>
              </w:rPr>
              <w:t>=0.</w:t>
            </w:r>
            <w:r>
              <w:rPr>
                <w:rFonts w:hint="eastAsia"/>
                <w:spacing w:val="6"/>
                <w:sz w:val="24"/>
                <w:szCs w:val="32"/>
              </w:rPr>
              <w:t>208</w:t>
            </w:r>
            <w:r>
              <w:rPr>
                <w:spacing w:val="6"/>
                <w:sz w:val="24"/>
                <w:szCs w:val="32"/>
              </w:rPr>
              <w:t>t</w:t>
            </w:r>
            <w:r>
              <w:rPr>
                <w:rFonts w:hint="eastAsia"/>
                <w:spacing w:val="6"/>
                <w:sz w:val="24"/>
                <w:szCs w:val="32"/>
              </w:rPr>
              <w:t>/a。</w:t>
            </w:r>
          </w:p>
          <w:p>
            <w:pPr>
              <w:tabs>
                <w:tab w:val="left" w:pos="7380"/>
              </w:tabs>
              <w:adjustRightInd w:val="0"/>
              <w:spacing w:line="360" w:lineRule="auto"/>
              <w:ind w:firstLine="496"/>
              <w:rPr>
                <w:spacing w:val="6"/>
                <w:sz w:val="24"/>
                <w:szCs w:val="32"/>
              </w:rPr>
            </w:pPr>
            <w:r>
              <w:rPr>
                <w:rFonts w:hint="eastAsia" w:ascii="宋体" w:hAnsi="宋体" w:cs="宋体"/>
                <w:spacing w:val="6"/>
                <w:sz w:val="24"/>
                <w:szCs w:val="32"/>
              </w:rPr>
              <w:t>②</w:t>
            </w:r>
            <w:r>
              <w:rPr>
                <w:spacing w:val="6"/>
                <w:sz w:val="24"/>
                <w:szCs w:val="32"/>
              </w:rPr>
              <w:t>烟尘计算</w:t>
            </w:r>
          </w:p>
          <w:p>
            <w:pPr>
              <w:tabs>
                <w:tab w:val="left" w:pos="7380"/>
              </w:tabs>
              <w:adjustRightInd w:val="0"/>
              <w:spacing w:line="360" w:lineRule="auto"/>
              <w:ind w:firstLine="496"/>
              <w:rPr>
                <w:spacing w:val="6"/>
                <w:sz w:val="24"/>
                <w:szCs w:val="32"/>
              </w:rPr>
            </w:pPr>
            <w:r>
              <w:rPr>
                <w:spacing w:val="6"/>
                <w:sz w:val="24"/>
                <w:szCs w:val="32"/>
              </w:rPr>
              <w:t>根据对实例的类比分析可知，加热炉烟尘（颗粒物）排放浓度平均值约为</w:t>
            </w:r>
            <w:r>
              <w:rPr>
                <w:rFonts w:hint="eastAsia"/>
                <w:spacing w:val="6"/>
                <w:sz w:val="24"/>
                <w:szCs w:val="32"/>
              </w:rPr>
              <w:t>14～20</w:t>
            </w:r>
            <w:r>
              <w:rPr>
                <w:spacing w:val="6"/>
                <w:sz w:val="24"/>
                <w:szCs w:val="32"/>
              </w:rPr>
              <w:t>mg/m</w:t>
            </w:r>
            <w:r>
              <w:rPr>
                <w:spacing w:val="6"/>
                <w:sz w:val="24"/>
                <w:szCs w:val="32"/>
                <w:vertAlign w:val="superscript"/>
              </w:rPr>
              <w:t>3</w:t>
            </w:r>
            <w:r>
              <w:rPr>
                <w:spacing w:val="6"/>
                <w:sz w:val="24"/>
                <w:szCs w:val="32"/>
              </w:rPr>
              <w:t>，本次评价按照2</w:t>
            </w:r>
            <w:r>
              <w:rPr>
                <w:rFonts w:hint="eastAsia"/>
                <w:spacing w:val="6"/>
                <w:sz w:val="24"/>
                <w:szCs w:val="32"/>
              </w:rPr>
              <w:t>0</w:t>
            </w:r>
            <w:r>
              <w:rPr>
                <w:spacing w:val="6"/>
                <w:sz w:val="24"/>
                <w:szCs w:val="32"/>
              </w:rPr>
              <w:t>mg/m</w:t>
            </w:r>
            <w:r>
              <w:rPr>
                <w:spacing w:val="6"/>
                <w:sz w:val="24"/>
                <w:szCs w:val="32"/>
                <w:vertAlign w:val="superscript"/>
              </w:rPr>
              <w:t>3</w:t>
            </w:r>
            <w:r>
              <w:rPr>
                <w:spacing w:val="6"/>
                <w:sz w:val="24"/>
                <w:szCs w:val="32"/>
              </w:rPr>
              <w:t>计算，</w:t>
            </w:r>
          </w:p>
          <w:p>
            <w:pPr>
              <w:tabs>
                <w:tab w:val="left" w:pos="7380"/>
              </w:tabs>
              <w:adjustRightInd w:val="0"/>
              <w:spacing w:line="360" w:lineRule="auto"/>
              <w:ind w:firstLine="496"/>
              <w:rPr>
                <w:spacing w:val="6"/>
                <w:sz w:val="24"/>
                <w:szCs w:val="32"/>
              </w:rPr>
            </w:pPr>
            <w:r>
              <w:rPr>
                <w:spacing w:val="6"/>
                <w:sz w:val="24"/>
                <w:szCs w:val="32"/>
              </w:rPr>
              <w:t>一期天然气加热炉烟尘排放量为2</w:t>
            </w:r>
            <w:r>
              <w:rPr>
                <w:rFonts w:hint="eastAsia"/>
                <w:spacing w:val="6"/>
                <w:sz w:val="24"/>
                <w:szCs w:val="32"/>
              </w:rPr>
              <w:t>0</w:t>
            </w:r>
            <w:r>
              <w:rPr>
                <w:spacing w:val="6"/>
                <w:sz w:val="24"/>
                <w:szCs w:val="32"/>
              </w:rPr>
              <w:t>mg/m</w:t>
            </w:r>
            <w:r>
              <w:rPr>
                <w:spacing w:val="6"/>
                <w:sz w:val="24"/>
                <w:szCs w:val="32"/>
                <w:vertAlign w:val="superscript"/>
              </w:rPr>
              <w:t>3</w:t>
            </w:r>
            <w:r>
              <w:rPr>
                <w:spacing w:val="6"/>
                <w:sz w:val="24"/>
                <w:szCs w:val="32"/>
              </w:rPr>
              <w:t>×1</w:t>
            </w:r>
            <w:r>
              <w:rPr>
                <w:rFonts w:hint="eastAsia"/>
                <w:spacing w:val="6"/>
                <w:sz w:val="24"/>
                <w:szCs w:val="32"/>
              </w:rPr>
              <w:t>.3</w:t>
            </w:r>
            <w:r>
              <w:rPr>
                <w:spacing w:val="6"/>
                <w:sz w:val="24"/>
                <w:szCs w:val="32"/>
              </w:rPr>
              <w:t>×10</w:t>
            </w:r>
            <w:r>
              <w:rPr>
                <w:rFonts w:hint="eastAsia"/>
                <w:spacing w:val="6"/>
                <w:sz w:val="24"/>
                <w:szCs w:val="32"/>
                <w:vertAlign w:val="superscript"/>
              </w:rPr>
              <w:t>6</w:t>
            </w:r>
            <w:r>
              <w:rPr>
                <w:spacing w:val="6"/>
                <w:sz w:val="24"/>
                <w:szCs w:val="32"/>
              </w:rPr>
              <w:t>Nm</w:t>
            </w:r>
            <w:r>
              <w:rPr>
                <w:spacing w:val="6"/>
                <w:sz w:val="24"/>
                <w:szCs w:val="32"/>
                <w:vertAlign w:val="superscript"/>
              </w:rPr>
              <w:t>3</w:t>
            </w:r>
            <w:r>
              <w:rPr>
                <w:spacing w:val="6"/>
                <w:sz w:val="24"/>
                <w:szCs w:val="32"/>
              </w:rPr>
              <w:t>=0.0</w:t>
            </w:r>
            <w:r>
              <w:rPr>
                <w:rFonts w:hint="eastAsia"/>
                <w:spacing w:val="6"/>
                <w:sz w:val="24"/>
                <w:szCs w:val="32"/>
              </w:rPr>
              <w:t>26</w:t>
            </w:r>
            <w:r>
              <w:rPr>
                <w:spacing w:val="6"/>
                <w:sz w:val="24"/>
                <w:szCs w:val="32"/>
              </w:rPr>
              <w:t>t/a</w:t>
            </w:r>
          </w:p>
          <w:p>
            <w:pPr>
              <w:tabs>
                <w:tab w:val="left" w:pos="7380"/>
              </w:tabs>
              <w:adjustRightInd w:val="0"/>
              <w:spacing w:line="360" w:lineRule="auto"/>
              <w:ind w:firstLine="496"/>
              <w:rPr>
                <w:spacing w:val="6"/>
                <w:sz w:val="24"/>
                <w:szCs w:val="32"/>
              </w:rPr>
            </w:pPr>
            <w:r>
              <w:rPr>
                <w:rFonts w:hint="eastAsia" w:ascii="宋体" w:hAnsi="宋体" w:cs="宋体"/>
                <w:spacing w:val="6"/>
                <w:sz w:val="24"/>
                <w:szCs w:val="32"/>
              </w:rPr>
              <w:t>③</w:t>
            </w:r>
            <w:r>
              <w:rPr>
                <w:spacing w:val="6"/>
                <w:sz w:val="24"/>
                <w:szCs w:val="32"/>
              </w:rPr>
              <w:t>SO</w:t>
            </w:r>
            <w:r>
              <w:rPr>
                <w:spacing w:val="6"/>
                <w:sz w:val="24"/>
                <w:szCs w:val="32"/>
                <w:vertAlign w:val="subscript"/>
              </w:rPr>
              <w:t>2</w:t>
            </w:r>
            <w:r>
              <w:rPr>
                <w:spacing w:val="6"/>
                <w:sz w:val="24"/>
                <w:szCs w:val="32"/>
              </w:rPr>
              <w:t>计算</w:t>
            </w:r>
          </w:p>
          <w:p>
            <w:pPr>
              <w:tabs>
                <w:tab w:val="left" w:pos="7380"/>
              </w:tabs>
              <w:adjustRightInd w:val="0"/>
              <w:spacing w:line="360" w:lineRule="auto"/>
              <w:ind w:firstLine="496"/>
              <w:rPr>
                <w:spacing w:val="6"/>
                <w:sz w:val="24"/>
                <w:szCs w:val="32"/>
              </w:rPr>
            </w:pPr>
            <w:r>
              <w:rPr>
                <w:spacing w:val="6"/>
                <w:sz w:val="24"/>
                <w:szCs w:val="32"/>
              </w:rPr>
              <w:t>本项目SO</w:t>
            </w:r>
            <w:r>
              <w:rPr>
                <w:spacing w:val="6"/>
                <w:sz w:val="24"/>
                <w:szCs w:val="32"/>
                <w:vertAlign w:val="subscript"/>
              </w:rPr>
              <w:t>2</w:t>
            </w:r>
            <w:r>
              <w:rPr>
                <w:spacing w:val="6"/>
                <w:sz w:val="24"/>
                <w:szCs w:val="32"/>
              </w:rPr>
              <w:t>的产生量与所使用的天然气中H</w:t>
            </w:r>
            <w:r>
              <w:rPr>
                <w:spacing w:val="6"/>
                <w:sz w:val="24"/>
                <w:szCs w:val="32"/>
                <w:vertAlign w:val="subscript"/>
              </w:rPr>
              <w:t>2</w:t>
            </w:r>
            <w:r>
              <w:rPr>
                <w:spacing w:val="6"/>
                <w:sz w:val="24"/>
                <w:szCs w:val="32"/>
              </w:rPr>
              <w:t>S的含量有关，本项目使用天然气各组分含量见下表。</w:t>
            </w:r>
          </w:p>
          <w:p>
            <w:pPr>
              <w:tabs>
                <w:tab w:val="left" w:pos="7380"/>
              </w:tabs>
              <w:adjustRightInd w:val="0"/>
              <w:spacing w:line="360" w:lineRule="auto"/>
              <w:jc w:val="center"/>
              <w:rPr>
                <w:b/>
                <w:bCs/>
                <w:spacing w:val="6"/>
              </w:rPr>
            </w:pPr>
            <w:r>
              <w:rPr>
                <w:b/>
                <w:bCs/>
                <w:spacing w:val="6"/>
              </w:rPr>
              <w:t>表</w:t>
            </w:r>
            <w:r>
              <w:rPr>
                <w:rFonts w:hint="eastAsia"/>
                <w:b/>
                <w:bCs/>
                <w:spacing w:val="6"/>
              </w:rPr>
              <w:t>26</w:t>
            </w:r>
            <w:r>
              <w:rPr>
                <w:b/>
                <w:bCs/>
                <w:spacing w:val="6"/>
              </w:rPr>
              <w:t xml:space="preserve">  陕京二线天然气气质组分</w:t>
            </w:r>
          </w:p>
          <w:tbl>
            <w:tblPr>
              <w:tblStyle w:val="13"/>
              <w:tblW w:w="8219"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74"/>
              <w:gridCol w:w="1174"/>
              <w:gridCol w:w="1174"/>
              <w:gridCol w:w="1174"/>
              <w:gridCol w:w="1174"/>
              <w:gridCol w:w="1174"/>
              <w:gridCol w:w="117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74" w:type="dxa"/>
                  <w:vAlign w:val="center"/>
                </w:tcPr>
                <w:p>
                  <w:pPr>
                    <w:adjustRightInd w:val="0"/>
                    <w:jc w:val="center"/>
                    <w:rPr>
                      <w:bCs/>
                      <w:szCs w:val="21"/>
                    </w:rPr>
                  </w:pPr>
                  <w:r>
                    <w:rPr>
                      <w:bCs/>
                      <w:szCs w:val="21"/>
                    </w:rPr>
                    <w:t>组分</w:t>
                  </w:r>
                </w:p>
              </w:tc>
              <w:tc>
                <w:tcPr>
                  <w:tcW w:w="1174" w:type="dxa"/>
                  <w:vAlign w:val="center"/>
                </w:tcPr>
                <w:p>
                  <w:pPr>
                    <w:adjustRightInd w:val="0"/>
                    <w:jc w:val="center"/>
                    <w:rPr>
                      <w:bCs/>
                      <w:szCs w:val="21"/>
                    </w:rPr>
                  </w:pPr>
                  <w:r>
                    <w:rPr>
                      <w:bCs/>
                      <w:szCs w:val="21"/>
                    </w:rPr>
                    <w:t>C</w:t>
                  </w:r>
                  <w:r>
                    <w:rPr>
                      <w:bCs/>
                      <w:szCs w:val="21"/>
                      <w:vertAlign w:val="subscript"/>
                    </w:rPr>
                    <w:t>1</w:t>
                  </w:r>
                </w:p>
              </w:tc>
              <w:tc>
                <w:tcPr>
                  <w:tcW w:w="1174" w:type="dxa"/>
                  <w:vAlign w:val="center"/>
                </w:tcPr>
                <w:p>
                  <w:pPr>
                    <w:adjustRightInd w:val="0"/>
                    <w:jc w:val="center"/>
                    <w:rPr>
                      <w:bCs/>
                      <w:szCs w:val="21"/>
                    </w:rPr>
                  </w:pPr>
                  <w:r>
                    <w:rPr>
                      <w:bCs/>
                      <w:szCs w:val="21"/>
                    </w:rPr>
                    <w:t>C</w:t>
                  </w:r>
                  <w:r>
                    <w:rPr>
                      <w:bCs/>
                      <w:szCs w:val="21"/>
                      <w:vertAlign w:val="subscript"/>
                    </w:rPr>
                    <w:t>2</w:t>
                  </w:r>
                </w:p>
              </w:tc>
              <w:tc>
                <w:tcPr>
                  <w:tcW w:w="1174" w:type="dxa"/>
                  <w:vAlign w:val="center"/>
                </w:tcPr>
                <w:p>
                  <w:pPr>
                    <w:adjustRightInd w:val="0"/>
                    <w:jc w:val="center"/>
                    <w:rPr>
                      <w:bCs/>
                      <w:szCs w:val="21"/>
                    </w:rPr>
                  </w:pPr>
                  <w:r>
                    <w:rPr>
                      <w:bCs/>
                      <w:szCs w:val="21"/>
                    </w:rPr>
                    <w:t>C</w:t>
                  </w:r>
                  <w:r>
                    <w:rPr>
                      <w:bCs/>
                      <w:szCs w:val="21"/>
                      <w:vertAlign w:val="subscript"/>
                    </w:rPr>
                    <w:t>3</w:t>
                  </w:r>
                </w:p>
              </w:tc>
              <w:tc>
                <w:tcPr>
                  <w:tcW w:w="1174" w:type="dxa"/>
                  <w:vAlign w:val="center"/>
                </w:tcPr>
                <w:p>
                  <w:pPr>
                    <w:adjustRightInd w:val="0"/>
                    <w:jc w:val="center"/>
                    <w:rPr>
                      <w:bCs/>
                      <w:szCs w:val="21"/>
                    </w:rPr>
                  </w:pPr>
                  <w:r>
                    <w:rPr>
                      <w:bCs/>
                      <w:szCs w:val="21"/>
                    </w:rPr>
                    <w:t>iC</w:t>
                  </w:r>
                  <w:r>
                    <w:rPr>
                      <w:bCs/>
                      <w:szCs w:val="21"/>
                      <w:vertAlign w:val="subscript"/>
                    </w:rPr>
                    <w:t>4</w:t>
                  </w:r>
                </w:p>
              </w:tc>
              <w:tc>
                <w:tcPr>
                  <w:tcW w:w="1174" w:type="dxa"/>
                  <w:vAlign w:val="center"/>
                </w:tcPr>
                <w:p>
                  <w:pPr>
                    <w:adjustRightInd w:val="0"/>
                    <w:jc w:val="center"/>
                    <w:rPr>
                      <w:bCs/>
                      <w:szCs w:val="21"/>
                    </w:rPr>
                  </w:pPr>
                  <w:r>
                    <w:rPr>
                      <w:bCs/>
                      <w:szCs w:val="21"/>
                    </w:rPr>
                    <w:t>nC</w:t>
                  </w:r>
                  <w:r>
                    <w:rPr>
                      <w:bCs/>
                      <w:szCs w:val="21"/>
                      <w:vertAlign w:val="subscript"/>
                    </w:rPr>
                    <w:t>4</w:t>
                  </w:r>
                </w:p>
              </w:tc>
              <w:tc>
                <w:tcPr>
                  <w:tcW w:w="1175" w:type="dxa"/>
                  <w:vAlign w:val="center"/>
                </w:tcPr>
                <w:p>
                  <w:pPr>
                    <w:adjustRightInd w:val="0"/>
                    <w:jc w:val="center"/>
                    <w:rPr>
                      <w:bCs/>
                      <w:szCs w:val="21"/>
                    </w:rPr>
                  </w:pPr>
                  <w:r>
                    <w:rPr>
                      <w:bCs/>
                      <w:szCs w:val="21"/>
                    </w:rPr>
                    <w:t>iC</w:t>
                  </w:r>
                  <w:r>
                    <w:rPr>
                      <w:bCs/>
                      <w:szCs w:val="21"/>
                      <w:vertAlign w:val="subscript"/>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74" w:type="dxa"/>
                  <w:vAlign w:val="center"/>
                </w:tcPr>
                <w:p>
                  <w:pPr>
                    <w:adjustRightInd w:val="0"/>
                    <w:jc w:val="center"/>
                    <w:rPr>
                      <w:bCs/>
                      <w:szCs w:val="21"/>
                    </w:rPr>
                  </w:pPr>
                  <w:r>
                    <w:rPr>
                      <w:bCs/>
                      <w:szCs w:val="21"/>
                    </w:rPr>
                    <w:t>Mol%</w:t>
                  </w:r>
                </w:p>
              </w:tc>
              <w:tc>
                <w:tcPr>
                  <w:tcW w:w="1174" w:type="dxa"/>
                  <w:vAlign w:val="center"/>
                </w:tcPr>
                <w:p>
                  <w:pPr>
                    <w:adjustRightInd w:val="0"/>
                    <w:jc w:val="center"/>
                    <w:rPr>
                      <w:bCs/>
                      <w:szCs w:val="21"/>
                    </w:rPr>
                  </w:pPr>
                  <w:r>
                    <w:rPr>
                      <w:bCs/>
                      <w:szCs w:val="21"/>
                    </w:rPr>
                    <w:t>95.8160</w:t>
                  </w:r>
                </w:p>
              </w:tc>
              <w:tc>
                <w:tcPr>
                  <w:tcW w:w="1174" w:type="dxa"/>
                  <w:vAlign w:val="center"/>
                </w:tcPr>
                <w:p>
                  <w:pPr>
                    <w:adjustRightInd w:val="0"/>
                    <w:jc w:val="center"/>
                    <w:rPr>
                      <w:bCs/>
                      <w:szCs w:val="21"/>
                    </w:rPr>
                  </w:pPr>
                  <w:r>
                    <w:rPr>
                      <w:bCs/>
                      <w:szCs w:val="21"/>
                    </w:rPr>
                    <w:t>0.6717</w:t>
                  </w:r>
                </w:p>
              </w:tc>
              <w:tc>
                <w:tcPr>
                  <w:tcW w:w="1174" w:type="dxa"/>
                  <w:vAlign w:val="center"/>
                </w:tcPr>
                <w:p>
                  <w:pPr>
                    <w:adjustRightInd w:val="0"/>
                    <w:jc w:val="center"/>
                    <w:rPr>
                      <w:bCs/>
                      <w:szCs w:val="21"/>
                    </w:rPr>
                  </w:pPr>
                  <w:r>
                    <w:rPr>
                      <w:bCs/>
                      <w:szCs w:val="21"/>
                    </w:rPr>
                    <w:t>0.1050</w:t>
                  </w:r>
                </w:p>
              </w:tc>
              <w:tc>
                <w:tcPr>
                  <w:tcW w:w="1174" w:type="dxa"/>
                  <w:vAlign w:val="center"/>
                </w:tcPr>
                <w:p>
                  <w:pPr>
                    <w:adjustRightInd w:val="0"/>
                    <w:jc w:val="center"/>
                    <w:rPr>
                      <w:bCs/>
                      <w:szCs w:val="21"/>
                    </w:rPr>
                  </w:pPr>
                  <w:r>
                    <w:rPr>
                      <w:bCs/>
                      <w:szCs w:val="21"/>
                    </w:rPr>
                    <w:t>0.0170</w:t>
                  </w:r>
                </w:p>
              </w:tc>
              <w:tc>
                <w:tcPr>
                  <w:tcW w:w="1174" w:type="dxa"/>
                  <w:vAlign w:val="center"/>
                </w:tcPr>
                <w:p>
                  <w:pPr>
                    <w:adjustRightInd w:val="0"/>
                    <w:jc w:val="center"/>
                    <w:rPr>
                      <w:bCs/>
                      <w:szCs w:val="21"/>
                    </w:rPr>
                  </w:pPr>
                  <w:r>
                    <w:rPr>
                      <w:bCs/>
                      <w:szCs w:val="21"/>
                    </w:rPr>
                    <w:t>0.0192</w:t>
                  </w:r>
                </w:p>
              </w:tc>
              <w:tc>
                <w:tcPr>
                  <w:tcW w:w="1175" w:type="dxa"/>
                  <w:vAlign w:val="center"/>
                </w:tcPr>
                <w:p>
                  <w:pPr>
                    <w:adjustRightInd w:val="0"/>
                    <w:jc w:val="center"/>
                    <w:rPr>
                      <w:bCs/>
                      <w:szCs w:val="21"/>
                    </w:rPr>
                  </w:pPr>
                  <w:r>
                    <w:rPr>
                      <w:bCs/>
                      <w:szCs w:val="21"/>
                    </w:rPr>
                    <w:t>0.0033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74" w:type="dxa"/>
                  <w:vAlign w:val="center"/>
                </w:tcPr>
                <w:p>
                  <w:pPr>
                    <w:adjustRightInd w:val="0"/>
                    <w:jc w:val="center"/>
                    <w:rPr>
                      <w:bCs/>
                      <w:szCs w:val="21"/>
                    </w:rPr>
                  </w:pPr>
                  <w:r>
                    <w:rPr>
                      <w:bCs/>
                      <w:szCs w:val="21"/>
                    </w:rPr>
                    <w:t>组分</w:t>
                  </w:r>
                </w:p>
              </w:tc>
              <w:tc>
                <w:tcPr>
                  <w:tcW w:w="1174" w:type="dxa"/>
                  <w:vAlign w:val="center"/>
                </w:tcPr>
                <w:p>
                  <w:pPr>
                    <w:adjustRightInd w:val="0"/>
                    <w:jc w:val="center"/>
                    <w:rPr>
                      <w:bCs/>
                      <w:szCs w:val="21"/>
                    </w:rPr>
                  </w:pPr>
                  <w:r>
                    <w:rPr>
                      <w:bCs/>
                      <w:szCs w:val="21"/>
                    </w:rPr>
                    <w:t>nC</w:t>
                  </w:r>
                  <w:r>
                    <w:rPr>
                      <w:bCs/>
                      <w:szCs w:val="21"/>
                      <w:vertAlign w:val="subscript"/>
                    </w:rPr>
                    <w:t>5</w:t>
                  </w:r>
                </w:p>
              </w:tc>
              <w:tc>
                <w:tcPr>
                  <w:tcW w:w="1174" w:type="dxa"/>
                  <w:vAlign w:val="center"/>
                </w:tcPr>
                <w:p>
                  <w:pPr>
                    <w:adjustRightInd w:val="0"/>
                    <w:jc w:val="center"/>
                    <w:rPr>
                      <w:bCs/>
                      <w:szCs w:val="21"/>
                    </w:rPr>
                  </w:pPr>
                  <w:r>
                    <w:rPr>
                      <w:bCs/>
                      <w:szCs w:val="21"/>
                    </w:rPr>
                    <w:t>C</w:t>
                  </w:r>
                  <w:r>
                    <w:rPr>
                      <w:bCs/>
                      <w:szCs w:val="21"/>
                      <w:vertAlign w:val="subscript"/>
                    </w:rPr>
                    <w:t>6</w:t>
                  </w:r>
                </w:p>
              </w:tc>
              <w:tc>
                <w:tcPr>
                  <w:tcW w:w="1174" w:type="dxa"/>
                  <w:vAlign w:val="center"/>
                </w:tcPr>
                <w:p>
                  <w:pPr>
                    <w:adjustRightInd w:val="0"/>
                    <w:jc w:val="center"/>
                    <w:rPr>
                      <w:bCs/>
                      <w:szCs w:val="21"/>
                    </w:rPr>
                  </w:pPr>
                  <w:r>
                    <w:rPr>
                      <w:bCs/>
                      <w:szCs w:val="21"/>
                    </w:rPr>
                    <w:t>C</w:t>
                  </w:r>
                  <w:r>
                    <w:rPr>
                      <w:bCs/>
                      <w:szCs w:val="21"/>
                      <w:vertAlign w:val="subscript"/>
                    </w:rPr>
                    <w:t>+7</w:t>
                  </w:r>
                </w:p>
              </w:tc>
              <w:tc>
                <w:tcPr>
                  <w:tcW w:w="1174" w:type="dxa"/>
                  <w:vAlign w:val="center"/>
                </w:tcPr>
                <w:p>
                  <w:pPr>
                    <w:adjustRightInd w:val="0"/>
                    <w:jc w:val="center"/>
                    <w:rPr>
                      <w:bCs/>
                      <w:szCs w:val="21"/>
                    </w:rPr>
                  </w:pPr>
                  <w:r>
                    <w:rPr>
                      <w:bCs/>
                      <w:szCs w:val="21"/>
                    </w:rPr>
                    <w:t>N</w:t>
                  </w:r>
                  <w:r>
                    <w:rPr>
                      <w:bCs/>
                      <w:szCs w:val="21"/>
                      <w:vertAlign w:val="subscript"/>
                    </w:rPr>
                    <w:t>2</w:t>
                  </w:r>
                </w:p>
              </w:tc>
              <w:tc>
                <w:tcPr>
                  <w:tcW w:w="1174" w:type="dxa"/>
                  <w:vAlign w:val="center"/>
                </w:tcPr>
                <w:p>
                  <w:pPr>
                    <w:adjustRightInd w:val="0"/>
                    <w:jc w:val="center"/>
                    <w:rPr>
                      <w:bCs/>
                      <w:szCs w:val="21"/>
                    </w:rPr>
                  </w:pPr>
                  <w:r>
                    <w:rPr>
                      <w:bCs/>
                      <w:szCs w:val="21"/>
                    </w:rPr>
                    <w:t>其它</w:t>
                  </w:r>
                </w:p>
              </w:tc>
              <w:tc>
                <w:tcPr>
                  <w:tcW w:w="1175" w:type="dxa"/>
                  <w:vAlign w:val="center"/>
                </w:tcPr>
                <w:p>
                  <w:pPr>
                    <w:adjustRightIn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74" w:type="dxa"/>
                  <w:vAlign w:val="center"/>
                </w:tcPr>
                <w:p>
                  <w:pPr>
                    <w:adjustRightInd w:val="0"/>
                    <w:jc w:val="center"/>
                    <w:rPr>
                      <w:bCs/>
                      <w:szCs w:val="21"/>
                    </w:rPr>
                  </w:pPr>
                  <w:r>
                    <w:rPr>
                      <w:bCs/>
                      <w:szCs w:val="21"/>
                    </w:rPr>
                    <w:t>Mol%</w:t>
                  </w:r>
                </w:p>
              </w:tc>
              <w:tc>
                <w:tcPr>
                  <w:tcW w:w="1174" w:type="dxa"/>
                  <w:vAlign w:val="center"/>
                </w:tcPr>
                <w:p>
                  <w:pPr>
                    <w:adjustRightInd w:val="0"/>
                    <w:jc w:val="center"/>
                    <w:rPr>
                      <w:bCs/>
                      <w:szCs w:val="21"/>
                    </w:rPr>
                  </w:pPr>
                  <w:r>
                    <w:rPr>
                      <w:bCs/>
                      <w:szCs w:val="21"/>
                    </w:rPr>
                    <w:t>0.0027</w:t>
                  </w:r>
                </w:p>
              </w:tc>
              <w:tc>
                <w:tcPr>
                  <w:tcW w:w="1174" w:type="dxa"/>
                  <w:vAlign w:val="center"/>
                </w:tcPr>
                <w:p>
                  <w:pPr>
                    <w:adjustRightInd w:val="0"/>
                    <w:jc w:val="center"/>
                    <w:rPr>
                      <w:bCs/>
                      <w:szCs w:val="21"/>
                    </w:rPr>
                  </w:pPr>
                  <w:r>
                    <w:rPr>
                      <w:bCs/>
                      <w:szCs w:val="21"/>
                    </w:rPr>
                    <w:t>0.0085</w:t>
                  </w:r>
                </w:p>
              </w:tc>
              <w:tc>
                <w:tcPr>
                  <w:tcW w:w="1174" w:type="dxa"/>
                  <w:vAlign w:val="center"/>
                </w:tcPr>
                <w:p>
                  <w:pPr>
                    <w:adjustRightInd w:val="0"/>
                    <w:jc w:val="center"/>
                    <w:rPr>
                      <w:bCs/>
                      <w:szCs w:val="21"/>
                    </w:rPr>
                  </w:pPr>
                  <w:r>
                    <w:rPr>
                      <w:bCs/>
                      <w:szCs w:val="21"/>
                    </w:rPr>
                    <w:t>0.0063</w:t>
                  </w:r>
                </w:p>
              </w:tc>
              <w:tc>
                <w:tcPr>
                  <w:tcW w:w="1174" w:type="dxa"/>
                  <w:vAlign w:val="center"/>
                </w:tcPr>
                <w:p>
                  <w:pPr>
                    <w:adjustRightInd w:val="0"/>
                    <w:jc w:val="center"/>
                    <w:rPr>
                      <w:bCs/>
                      <w:szCs w:val="21"/>
                    </w:rPr>
                  </w:pPr>
                  <w:r>
                    <w:rPr>
                      <w:bCs/>
                      <w:szCs w:val="21"/>
                    </w:rPr>
                    <w:t>1.4645</w:t>
                  </w:r>
                </w:p>
              </w:tc>
              <w:tc>
                <w:tcPr>
                  <w:tcW w:w="1174" w:type="dxa"/>
                  <w:vAlign w:val="center"/>
                </w:tcPr>
                <w:p>
                  <w:pPr>
                    <w:adjustRightInd w:val="0"/>
                    <w:jc w:val="center"/>
                    <w:rPr>
                      <w:bCs/>
                      <w:szCs w:val="21"/>
                    </w:rPr>
                  </w:pPr>
                  <w:r>
                    <w:rPr>
                      <w:bCs/>
                      <w:szCs w:val="21"/>
                    </w:rPr>
                    <w:t>1.8858</w:t>
                  </w:r>
                </w:p>
              </w:tc>
              <w:tc>
                <w:tcPr>
                  <w:tcW w:w="1175" w:type="dxa"/>
                  <w:vAlign w:val="center"/>
                </w:tcPr>
                <w:p>
                  <w:pPr>
                    <w:adjustRightInd w:val="0"/>
                    <w:jc w:val="center"/>
                    <w:rPr>
                      <w:bCs/>
                      <w:szCs w:val="21"/>
                    </w:rPr>
                  </w:pPr>
                </w:p>
              </w:tc>
            </w:tr>
          </w:tbl>
          <w:p>
            <w:pPr>
              <w:adjustRightInd w:val="0"/>
              <w:spacing w:before="120" w:line="360" w:lineRule="auto"/>
              <w:ind w:firstLine="436"/>
              <w:jc w:val="center"/>
              <w:rPr>
                <w:b/>
                <w:bCs/>
                <w:szCs w:val="21"/>
              </w:rPr>
            </w:pPr>
            <w:r>
              <w:rPr>
                <w:b/>
                <w:bCs/>
                <w:szCs w:val="21"/>
              </w:rPr>
              <w:t>表</w:t>
            </w:r>
            <w:r>
              <w:rPr>
                <w:rFonts w:hint="eastAsia"/>
                <w:b/>
                <w:bCs/>
                <w:szCs w:val="21"/>
              </w:rPr>
              <w:t>27</w:t>
            </w:r>
            <w:r>
              <w:rPr>
                <w:b/>
                <w:bCs/>
                <w:szCs w:val="21"/>
              </w:rPr>
              <w:t xml:space="preserve">  陕京二线主要物性参数（0℃，101.325kpa）</w:t>
            </w:r>
          </w:p>
          <w:tbl>
            <w:tblPr>
              <w:tblStyle w:val="1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1350"/>
              <w:gridCol w:w="1697"/>
              <w:gridCol w:w="1527"/>
              <w:gridCol w:w="1530"/>
              <w:gridCol w:w="10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15" w:type="dxa"/>
                  <w:vAlign w:val="center"/>
                </w:tcPr>
                <w:p>
                  <w:pPr>
                    <w:adjustRightInd w:val="0"/>
                    <w:jc w:val="center"/>
                    <w:rPr>
                      <w:bCs/>
                      <w:szCs w:val="21"/>
                    </w:rPr>
                  </w:pPr>
                  <w:r>
                    <w:rPr>
                      <w:bCs/>
                      <w:szCs w:val="21"/>
                    </w:rPr>
                    <w:t>CO</w:t>
                  </w:r>
                  <w:r>
                    <w:rPr>
                      <w:bCs/>
                      <w:szCs w:val="21"/>
                      <w:vertAlign w:val="subscript"/>
                    </w:rPr>
                    <w:t>2</w:t>
                  </w:r>
                </w:p>
              </w:tc>
              <w:tc>
                <w:tcPr>
                  <w:tcW w:w="1335" w:type="dxa"/>
                  <w:vAlign w:val="center"/>
                </w:tcPr>
                <w:p>
                  <w:pPr>
                    <w:adjustRightInd w:val="0"/>
                    <w:jc w:val="center"/>
                    <w:rPr>
                      <w:bCs/>
                      <w:szCs w:val="21"/>
                    </w:rPr>
                  </w:pPr>
                  <w:r>
                    <w:rPr>
                      <w:bCs/>
                      <w:szCs w:val="21"/>
                    </w:rPr>
                    <w:t>H</w:t>
                  </w:r>
                  <w:r>
                    <w:rPr>
                      <w:bCs/>
                      <w:szCs w:val="21"/>
                      <w:vertAlign w:val="subscript"/>
                    </w:rPr>
                    <w:t>2</w:t>
                  </w:r>
                  <w:r>
                    <w:rPr>
                      <w:bCs/>
                      <w:szCs w:val="21"/>
                    </w:rPr>
                    <w:t>S</w:t>
                  </w:r>
                </w:p>
              </w:tc>
              <w:tc>
                <w:tcPr>
                  <w:tcW w:w="1678" w:type="dxa"/>
                  <w:vAlign w:val="center"/>
                </w:tcPr>
                <w:p>
                  <w:pPr>
                    <w:adjustRightInd w:val="0"/>
                    <w:jc w:val="center"/>
                    <w:rPr>
                      <w:bCs/>
                      <w:szCs w:val="21"/>
                    </w:rPr>
                  </w:pPr>
                  <w:r>
                    <w:rPr>
                      <w:bCs/>
                      <w:szCs w:val="21"/>
                    </w:rPr>
                    <w:t>水露点</w:t>
                  </w:r>
                </w:p>
              </w:tc>
              <w:tc>
                <w:tcPr>
                  <w:tcW w:w="1510" w:type="dxa"/>
                  <w:vAlign w:val="center"/>
                </w:tcPr>
                <w:p>
                  <w:pPr>
                    <w:adjustRightInd w:val="0"/>
                    <w:jc w:val="center"/>
                    <w:rPr>
                      <w:bCs/>
                      <w:szCs w:val="21"/>
                    </w:rPr>
                  </w:pPr>
                  <w:r>
                    <w:rPr>
                      <w:bCs/>
                      <w:szCs w:val="21"/>
                    </w:rPr>
                    <w:t>低发热值</w:t>
                  </w:r>
                </w:p>
              </w:tc>
              <w:tc>
                <w:tcPr>
                  <w:tcW w:w="1513" w:type="dxa"/>
                  <w:vAlign w:val="center"/>
                </w:tcPr>
                <w:p>
                  <w:pPr>
                    <w:adjustRightInd w:val="0"/>
                    <w:jc w:val="center"/>
                    <w:rPr>
                      <w:bCs/>
                      <w:szCs w:val="21"/>
                    </w:rPr>
                  </w:pPr>
                  <w:r>
                    <w:rPr>
                      <w:bCs/>
                      <w:szCs w:val="21"/>
                    </w:rPr>
                    <w:t>高发热值</w:t>
                  </w:r>
                </w:p>
              </w:tc>
              <w:tc>
                <w:tcPr>
                  <w:tcW w:w="1061" w:type="dxa"/>
                  <w:vAlign w:val="center"/>
                </w:tcPr>
                <w:p>
                  <w:pPr>
                    <w:adjustRightInd w:val="0"/>
                    <w:jc w:val="center"/>
                    <w:rPr>
                      <w:bCs/>
                      <w:szCs w:val="21"/>
                    </w:rPr>
                  </w:pPr>
                  <w:r>
                    <w:rPr>
                      <w:bCs/>
                      <w:szCs w:val="21"/>
                    </w:rPr>
                    <w:t>相对密度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15" w:type="dxa"/>
                  <w:vAlign w:val="center"/>
                </w:tcPr>
                <w:p>
                  <w:pPr>
                    <w:adjustRightInd w:val="0"/>
                    <w:jc w:val="center"/>
                    <w:rPr>
                      <w:bCs/>
                      <w:szCs w:val="21"/>
                    </w:rPr>
                  </w:pPr>
                  <w:r>
                    <w:rPr>
                      <w:bCs/>
                      <w:szCs w:val="21"/>
                    </w:rPr>
                    <w:t>≤3%</w:t>
                  </w:r>
                </w:p>
              </w:tc>
              <w:tc>
                <w:tcPr>
                  <w:tcW w:w="1335" w:type="dxa"/>
                  <w:vAlign w:val="center"/>
                </w:tcPr>
                <w:p>
                  <w:pPr>
                    <w:adjustRightInd w:val="0"/>
                    <w:jc w:val="center"/>
                    <w:rPr>
                      <w:bCs/>
                      <w:szCs w:val="21"/>
                    </w:rPr>
                  </w:pPr>
                  <w:r>
                    <w:rPr>
                      <w:bCs/>
                      <w:szCs w:val="21"/>
                    </w:rPr>
                    <w:t>≤</w:t>
                  </w:r>
                  <w:r>
                    <w:rPr>
                      <w:rFonts w:hint="eastAsia"/>
                      <w:bCs/>
                      <w:szCs w:val="21"/>
                    </w:rPr>
                    <w:t>20</w:t>
                  </w:r>
                  <w:r>
                    <w:rPr>
                      <w:bCs/>
                      <w:szCs w:val="21"/>
                    </w:rPr>
                    <w:t>mg/m</w:t>
                  </w:r>
                  <w:r>
                    <w:rPr>
                      <w:bCs/>
                      <w:szCs w:val="21"/>
                      <w:vertAlign w:val="superscript"/>
                    </w:rPr>
                    <w:t>3</w:t>
                  </w:r>
                </w:p>
              </w:tc>
              <w:tc>
                <w:tcPr>
                  <w:tcW w:w="1678" w:type="dxa"/>
                  <w:vAlign w:val="center"/>
                </w:tcPr>
                <w:p>
                  <w:pPr>
                    <w:adjustRightInd w:val="0"/>
                    <w:jc w:val="center"/>
                    <w:rPr>
                      <w:bCs/>
                      <w:szCs w:val="21"/>
                    </w:rPr>
                  </w:pPr>
                  <w:r>
                    <w:rPr>
                      <w:bCs/>
                      <w:szCs w:val="21"/>
                    </w:rPr>
                    <w:t>≤-13℃（4.5Mpa）</w:t>
                  </w:r>
                </w:p>
              </w:tc>
              <w:tc>
                <w:tcPr>
                  <w:tcW w:w="1510" w:type="dxa"/>
                  <w:vAlign w:val="center"/>
                </w:tcPr>
                <w:p>
                  <w:pPr>
                    <w:adjustRightInd w:val="0"/>
                    <w:jc w:val="center"/>
                    <w:rPr>
                      <w:bCs/>
                      <w:szCs w:val="21"/>
                    </w:rPr>
                  </w:pPr>
                  <w:r>
                    <w:rPr>
                      <w:bCs/>
                      <w:szCs w:val="21"/>
                    </w:rPr>
                    <w:t>32.762MJ/m</w:t>
                  </w:r>
                  <w:r>
                    <w:rPr>
                      <w:bCs/>
                      <w:szCs w:val="21"/>
                      <w:vertAlign w:val="superscript"/>
                    </w:rPr>
                    <w:t>3</w:t>
                  </w:r>
                </w:p>
              </w:tc>
              <w:tc>
                <w:tcPr>
                  <w:tcW w:w="1513" w:type="dxa"/>
                  <w:vAlign w:val="center"/>
                </w:tcPr>
                <w:p>
                  <w:pPr>
                    <w:adjustRightInd w:val="0"/>
                    <w:jc w:val="center"/>
                    <w:rPr>
                      <w:bCs/>
                      <w:szCs w:val="21"/>
                    </w:rPr>
                  </w:pPr>
                  <w:r>
                    <w:rPr>
                      <w:bCs/>
                      <w:szCs w:val="21"/>
                    </w:rPr>
                    <w:t>36.475MJ/m</w:t>
                  </w:r>
                  <w:r>
                    <w:rPr>
                      <w:bCs/>
                      <w:szCs w:val="21"/>
                      <w:vertAlign w:val="superscript"/>
                    </w:rPr>
                    <w:t>3</w:t>
                  </w:r>
                </w:p>
              </w:tc>
              <w:tc>
                <w:tcPr>
                  <w:tcW w:w="1061" w:type="dxa"/>
                  <w:vAlign w:val="center"/>
                </w:tcPr>
                <w:p>
                  <w:pPr>
                    <w:adjustRightInd w:val="0"/>
                    <w:jc w:val="center"/>
                    <w:rPr>
                      <w:bCs/>
                      <w:szCs w:val="21"/>
                    </w:rPr>
                  </w:pPr>
                  <w:r>
                    <w:rPr>
                      <w:bCs/>
                      <w:szCs w:val="21"/>
                    </w:rPr>
                    <w:t>0.577</w:t>
                  </w:r>
                </w:p>
              </w:tc>
            </w:tr>
          </w:tbl>
          <w:p>
            <w:pPr>
              <w:tabs>
                <w:tab w:val="left" w:pos="7380"/>
              </w:tabs>
              <w:adjustRightInd w:val="0"/>
              <w:spacing w:line="360" w:lineRule="auto"/>
              <w:ind w:firstLine="496"/>
              <w:rPr>
                <w:spacing w:val="6"/>
                <w:sz w:val="24"/>
                <w:szCs w:val="32"/>
              </w:rPr>
            </w:pPr>
            <w:r>
              <w:rPr>
                <w:spacing w:val="6"/>
                <w:sz w:val="24"/>
                <w:szCs w:val="32"/>
              </w:rPr>
              <w:t>本项目SO</w:t>
            </w:r>
            <w:r>
              <w:rPr>
                <w:spacing w:val="6"/>
                <w:sz w:val="24"/>
                <w:szCs w:val="32"/>
                <w:vertAlign w:val="subscript"/>
              </w:rPr>
              <w:t>2</w:t>
            </w:r>
            <w:r>
              <w:rPr>
                <w:spacing w:val="6"/>
                <w:sz w:val="24"/>
                <w:szCs w:val="32"/>
              </w:rPr>
              <w:t>的产生量按照天然气中H</w:t>
            </w:r>
            <w:r>
              <w:rPr>
                <w:spacing w:val="6"/>
                <w:sz w:val="24"/>
                <w:szCs w:val="32"/>
                <w:vertAlign w:val="subscript"/>
              </w:rPr>
              <w:t>2</w:t>
            </w:r>
            <w:r>
              <w:rPr>
                <w:spacing w:val="6"/>
                <w:sz w:val="24"/>
                <w:szCs w:val="32"/>
              </w:rPr>
              <w:t>S含量最大值计算，即天然气中H</w:t>
            </w:r>
            <w:r>
              <w:rPr>
                <w:spacing w:val="6"/>
                <w:sz w:val="24"/>
                <w:szCs w:val="32"/>
                <w:vertAlign w:val="subscript"/>
              </w:rPr>
              <w:t>2</w:t>
            </w:r>
            <w:r>
              <w:rPr>
                <w:spacing w:val="6"/>
                <w:sz w:val="24"/>
                <w:szCs w:val="32"/>
              </w:rPr>
              <w:t>S含量为</w:t>
            </w:r>
            <w:r>
              <w:rPr>
                <w:rFonts w:hint="eastAsia"/>
                <w:spacing w:val="6"/>
                <w:sz w:val="24"/>
                <w:szCs w:val="32"/>
              </w:rPr>
              <w:t>20</w:t>
            </w:r>
            <w:r>
              <w:rPr>
                <w:spacing w:val="6"/>
                <w:sz w:val="24"/>
                <w:szCs w:val="32"/>
              </w:rPr>
              <w:t>mg/m</w:t>
            </w:r>
            <w:r>
              <w:rPr>
                <w:spacing w:val="6"/>
                <w:sz w:val="24"/>
                <w:szCs w:val="32"/>
                <w:vertAlign w:val="superscript"/>
              </w:rPr>
              <w:t>3</w:t>
            </w:r>
            <w:r>
              <w:rPr>
                <w:spacing w:val="6"/>
                <w:sz w:val="24"/>
                <w:szCs w:val="32"/>
              </w:rPr>
              <w:t>。</w:t>
            </w:r>
          </w:p>
          <w:p>
            <w:pPr>
              <w:tabs>
                <w:tab w:val="left" w:pos="7380"/>
              </w:tabs>
              <w:adjustRightInd w:val="0"/>
              <w:spacing w:line="360" w:lineRule="auto"/>
              <w:ind w:firstLine="496"/>
              <w:rPr>
                <w:spacing w:val="6"/>
                <w:sz w:val="24"/>
                <w:szCs w:val="32"/>
              </w:rPr>
            </w:pPr>
            <w:r>
              <w:rPr>
                <w:spacing w:val="6"/>
                <w:sz w:val="24"/>
                <w:szCs w:val="32"/>
              </w:rPr>
              <w:t>H</w:t>
            </w:r>
            <w:r>
              <w:rPr>
                <w:spacing w:val="6"/>
                <w:sz w:val="24"/>
                <w:szCs w:val="32"/>
                <w:vertAlign w:val="subscript"/>
              </w:rPr>
              <w:t>2</w:t>
            </w:r>
            <w:r>
              <w:rPr>
                <w:spacing w:val="6"/>
                <w:sz w:val="24"/>
                <w:szCs w:val="32"/>
              </w:rPr>
              <w:t>S经燃烧后生成SO</w:t>
            </w:r>
            <w:r>
              <w:rPr>
                <w:spacing w:val="6"/>
                <w:sz w:val="24"/>
                <w:szCs w:val="32"/>
                <w:vertAlign w:val="subscript"/>
              </w:rPr>
              <w:t>2</w:t>
            </w:r>
            <w:r>
              <w:rPr>
                <w:spacing w:val="6"/>
                <w:sz w:val="24"/>
                <w:szCs w:val="32"/>
              </w:rPr>
              <w:t>，化学方程式如下：</w:t>
            </w:r>
          </w:p>
          <w:p>
            <w:pPr>
              <w:tabs>
                <w:tab w:val="left" w:pos="7380"/>
              </w:tabs>
              <w:adjustRightInd w:val="0"/>
              <w:spacing w:line="360" w:lineRule="auto"/>
              <w:ind w:firstLine="496"/>
              <w:rPr>
                <w:spacing w:val="6"/>
                <w:sz w:val="24"/>
                <w:szCs w:val="32"/>
              </w:rPr>
            </w:pPr>
            <w:r>
              <w:rPr>
                <w:spacing w:val="6"/>
                <w:sz w:val="24"/>
                <w:szCs w:val="32"/>
              </w:rPr>
              <w:t>2H</w:t>
            </w:r>
            <w:r>
              <w:rPr>
                <w:spacing w:val="6"/>
                <w:sz w:val="24"/>
                <w:szCs w:val="32"/>
                <w:vertAlign w:val="subscript"/>
              </w:rPr>
              <w:t>2</w:t>
            </w:r>
            <w:r>
              <w:rPr>
                <w:spacing w:val="6"/>
                <w:sz w:val="24"/>
                <w:szCs w:val="32"/>
              </w:rPr>
              <w:t>S+3O</w:t>
            </w:r>
            <w:r>
              <w:rPr>
                <w:spacing w:val="6"/>
                <w:sz w:val="24"/>
                <w:szCs w:val="32"/>
                <w:vertAlign w:val="subscript"/>
              </w:rPr>
              <w:t>2</w:t>
            </w:r>
            <w:r>
              <w:rPr>
                <w:spacing w:val="6"/>
                <w:sz w:val="24"/>
                <w:szCs w:val="32"/>
              </w:rPr>
              <w:t>→2SO</w:t>
            </w:r>
            <w:r>
              <w:rPr>
                <w:spacing w:val="6"/>
                <w:sz w:val="24"/>
                <w:szCs w:val="32"/>
                <w:vertAlign w:val="subscript"/>
              </w:rPr>
              <w:t>2</w:t>
            </w:r>
            <w:r>
              <w:rPr>
                <w:spacing w:val="6"/>
                <w:sz w:val="24"/>
                <w:szCs w:val="32"/>
              </w:rPr>
              <w:t>+2H</w:t>
            </w:r>
            <w:r>
              <w:rPr>
                <w:spacing w:val="6"/>
                <w:sz w:val="24"/>
                <w:szCs w:val="32"/>
                <w:vertAlign w:val="subscript"/>
              </w:rPr>
              <w:t>2</w:t>
            </w:r>
            <w:r>
              <w:rPr>
                <w:spacing w:val="6"/>
                <w:sz w:val="24"/>
                <w:szCs w:val="32"/>
              </w:rPr>
              <w:t>O</w:t>
            </w:r>
          </w:p>
          <w:p>
            <w:pPr>
              <w:tabs>
                <w:tab w:val="left" w:pos="7380"/>
              </w:tabs>
              <w:adjustRightInd w:val="0"/>
              <w:spacing w:line="360" w:lineRule="auto"/>
              <w:ind w:firstLine="496"/>
              <w:rPr>
                <w:sz w:val="24"/>
              </w:rPr>
            </w:pPr>
            <w:r>
              <w:rPr>
                <w:spacing w:val="6"/>
                <w:sz w:val="24"/>
                <w:szCs w:val="32"/>
              </w:rPr>
              <w:t>一期天然气H</w:t>
            </w:r>
            <w:r>
              <w:rPr>
                <w:spacing w:val="6"/>
                <w:sz w:val="24"/>
                <w:szCs w:val="32"/>
                <w:vertAlign w:val="subscript"/>
              </w:rPr>
              <w:t>2</w:t>
            </w:r>
            <w:r>
              <w:rPr>
                <w:spacing w:val="6"/>
                <w:sz w:val="24"/>
                <w:szCs w:val="32"/>
              </w:rPr>
              <w:t>S总含量为</w:t>
            </w:r>
            <w:r>
              <w:rPr>
                <w:rFonts w:hint="eastAsia"/>
                <w:spacing w:val="6"/>
                <w:sz w:val="24"/>
                <w:szCs w:val="32"/>
              </w:rPr>
              <w:t>20</w:t>
            </w:r>
            <w:r>
              <w:rPr>
                <w:spacing w:val="6"/>
                <w:sz w:val="24"/>
                <w:szCs w:val="32"/>
              </w:rPr>
              <w:t>mg/m</w:t>
            </w:r>
            <w:r>
              <w:rPr>
                <w:spacing w:val="6"/>
                <w:sz w:val="24"/>
                <w:szCs w:val="32"/>
                <w:vertAlign w:val="superscript"/>
              </w:rPr>
              <w:t>3</w:t>
            </w:r>
            <w:r>
              <w:rPr>
                <w:spacing w:val="6"/>
                <w:sz w:val="24"/>
                <w:szCs w:val="32"/>
              </w:rPr>
              <w:t>×1×10</w:t>
            </w:r>
            <w:r>
              <w:rPr>
                <w:rFonts w:hint="eastAsia"/>
                <w:spacing w:val="6"/>
                <w:sz w:val="24"/>
                <w:szCs w:val="32"/>
                <w:vertAlign w:val="superscript"/>
              </w:rPr>
              <w:t>5</w:t>
            </w:r>
            <w:r>
              <w:rPr>
                <w:spacing w:val="6"/>
                <w:sz w:val="24"/>
                <w:szCs w:val="32"/>
              </w:rPr>
              <w:t>Nm</w:t>
            </w:r>
            <w:r>
              <w:rPr>
                <w:spacing w:val="6"/>
                <w:sz w:val="24"/>
                <w:szCs w:val="32"/>
                <w:vertAlign w:val="superscript"/>
              </w:rPr>
              <w:t>3</w:t>
            </w:r>
            <w:r>
              <w:rPr>
                <w:spacing w:val="6"/>
                <w:sz w:val="24"/>
                <w:szCs w:val="32"/>
              </w:rPr>
              <w:t>=</w:t>
            </w:r>
            <w:r>
              <w:rPr>
                <w:rFonts w:hint="eastAsia"/>
                <w:spacing w:val="6"/>
                <w:sz w:val="24"/>
                <w:szCs w:val="32"/>
              </w:rPr>
              <w:t>2</w:t>
            </w:r>
            <w:r>
              <w:rPr>
                <w:sz w:val="24"/>
              </w:rPr>
              <w:t>×10</w:t>
            </w:r>
            <w:r>
              <w:rPr>
                <w:sz w:val="24"/>
                <w:vertAlign w:val="superscript"/>
              </w:rPr>
              <w:t>-</w:t>
            </w:r>
            <w:r>
              <w:rPr>
                <w:rFonts w:hint="eastAsia"/>
                <w:sz w:val="24"/>
                <w:vertAlign w:val="superscript"/>
              </w:rPr>
              <w:t>3</w:t>
            </w:r>
            <w:r>
              <w:rPr>
                <w:sz w:val="24"/>
              </w:rPr>
              <w:t>t</w:t>
            </w:r>
          </w:p>
          <w:p>
            <w:pPr>
              <w:tabs>
                <w:tab w:val="left" w:pos="7380"/>
              </w:tabs>
              <w:adjustRightInd w:val="0"/>
              <w:spacing w:line="360" w:lineRule="auto"/>
              <w:ind w:firstLine="496"/>
              <w:rPr>
                <w:spacing w:val="6"/>
                <w:sz w:val="24"/>
                <w:szCs w:val="32"/>
              </w:rPr>
            </w:pPr>
            <w:r>
              <w:rPr>
                <w:sz w:val="24"/>
              </w:rPr>
              <w:t>天然气加热炉SO</w:t>
            </w:r>
            <w:r>
              <w:rPr>
                <w:sz w:val="24"/>
                <w:vertAlign w:val="subscript"/>
              </w:rPr>
              <w:t>2</w:t>
            </w:r>
            <w:r>
              <w:rPr>
                <w:sz w:val="24"/>
              </w:rPr>
              <w:t>产生量为</w:t>
            </w:r>
            <w:r>
              <w:rPr>
                <w:rFonts w:hint="eastAsia"/>
                <w:spacing w:val="6"/>
                <w:sz w:val="24"/>
                <w:szCs w:val="32"/>
              </w:rPr>
              <w:t>2</w:t>
            </w:r>
            <w:r>
              <w:rPr>
                <w:sz w:val="24"/>
              </w:rPr>
              <w:t>×10</w:t>
            </w:r>
            <w:r>
              <w:rPr>
                <w:sz w:val="24"/>
                <w:vertAlign w:val="superscript"/>
              </w:rPr>
              <w:t>-</w:t>
            </w:r>
            <w:r>
              <w:rPr>
                <w:rFonts w:hint="eastAsia"/>
                <w:sz w:val="24"/>
                <w:vertAlign w:val="superscript"/>
              </w:rPr>
              <w:t>3</w:t>
            </w:r>
            <w:r>
              <w:rPr>
                <w:sz w:val="24"/>
              </w:rPr>
              <w:t>t</w:t>
            </w:r>
            <w:r>
              <w:rPr>
                <w:spacing w:val="6"/>
                <w:sz w:val="24"/>
                <w:szCs w:val="32"/>
              </w:rPr>
              <w:t>×128/68=0.00</w:t>
            </w:r>
            <w:r>
              <w:rPr>
                <w:rFonts w:hint="eastAsia"/>
                <w:spacing w:val="6"/>
                <w:sz w:val="24"/>
                <w:szCs w:val="32"/>
              </w:rPr>
              <w:t>4</w:t>
            </w:r>
            <w:r>
              <w:rPr>
                <w:spacing w:val="6"/>
                <w:sz w:val="24"/>
                <w:szCs w:val="32"/>
              </w:rPr>
              <w:t>t/a</w:t>
            </w:r>
          </w:p>
          <w:p>
            <w:pPr>
              <w:tabs>
                <w:tab w:val="left" w:pos="7380"/>
              </w:tabs>
              <w:adjustRightInd w:val="0"/>
              <w:spacing w:line="360" w:lineRule="auto"/>
              <w:ind w:firstLine="496"/>
              <w:rPr>
                <w:spacing w:val="6"/>
                <w:sz w:val="24"/>
                <w:szCs w:val="32"/>
                <w:vertAlign w:val="superscript"/>
              </w:rPr>
            </w:pPr>
            <w:r>
              <w:rPr>
                <w:sz w:val="24"/>
                <w:szCs w:val="32"/>
              </w:rPr>
              <w:t>天然气加热炉SO</w:t>
            </w:r>
            <w:r>
              <w:rPr>
                <w:sz w:val="24"/>
                <w:szCs w:val="32"/>
                <w:vertAlign w:val="subscript"/>
              </w:rPr>
              <w:t>2</w:t>
            </w:r>
            <w:r>
              <w:rPr>
                <w:sz w:val="24"/>
                <w:szCs w:val="32"/>
              </w:rPr>
              <w:t>产生浓度为</w:t>
            </w:r>
            <w:r>
              <w:rPr>
                <w:spacing w:val="6"/>
                <w:sz w:val="24"/>
                <w:szCs w:val="32"/>
              </w:rPr>
              <w:t>0.00</w:t>
            </w:r>
            <w:r>
              <w:rPr>
                <w:rFonts w:hint="eastAsia"/>
                <w:spacing w:val="6"/>
                <w:sz w:val="24"/>
                <w:szCs w:val="32"/>
              </w:rPr>
              <w:t>4</w:t>
            </w:r>
            <w:r>
              <w:rPr>
                <w:spacing w:val="6"/>
                <w:sz w:val="24"/>
                <w:szCs w:val="32"/>
              </w:rPr>
              <w:t>×10</w:t>
            </w:r>
            <w:r>
              <w:rPr>
                <w:spacing w:val="6"/>
                <w:sz w:val="24"/>
                <w:szCs w:val="32"/>
                <w:vertAlign w:val="superscript"/>
              </w:rPr>
              <w:t>9</w:t>
            </w:r>
            <w:r>
              <w:rPr>
                <w:spacing w:val="6"/>
                <w:sz w:val="24"/>
                <w:szCs w:val="32"/>
              </w:rPr>
              <w:t>t/a÷（1</w:t>
            </w:r>
            <w:r>
              <w:rPr>
                <w:rFonts w:hint="eastAsia"/>
                <w:spacing w:val="6"/>
                <w:sz w:val="24"/>
                <w:szCs w:val="32"/>
              </w:rPr>
              <w:t>.3</w:t>
            </w:r>
            <w:r>
              <w:rPr>
                <w:spacing w:val="6"/>
                <w:sz w:val="24"/>
                <w:szCs w:val="32"/>
              </w:rPr>
              <w:t>×10</w:t>
            </w:r>
            <w:r>
              <w:rPr>
                <w:rFonts w:hint="eastAsia"/>
                <w:spacing w:val="6"/>
                <w:sz w:val="24"/>
                <w:szCs w:val="32"/>
                <w:vertAlign w:val="superscript"/>
              </w:rPr>
              <w:t>6</w:t>
            </w:r>
            <w:r>
              <w:rPr>
                <w:spacing w:val="6"/>
                <w:sz w:val="24"/>
                <w:szCs w:val="32"/>
              </w:rPr>
              <w:t>）Nm</w:t>
            </w:r>
            <w:r>
              <w:rPr>
                <w:spacing w:val="6"/>
                <w:sz w:val="24"/>
                <w:szCs w:val="32"/>
                <w:vertAlign w:val="superscript"/>
              </w:rPr>
              <w:t>3</w:t>
            </w:r>
            <w:r>
              <w:rPr>
                <w:spacing w:val="6"/>
                <w:sz w:val="24"/>
                <w:szCs w:val="32"/>
              </w:rPr>
              <w:t>/a=</w:t>
            </w:r>
            <w:r>
              <w:rPr>
                <w:rFonts w:hint="eastAsia"/>
                <w:spacing w:val="6"/>
                <w:sz w:val="24"/>
                <w:szCs w:val="32"/>
              </w:rPr>
              <w:t>3.08</w:t>
            </w:r>
            <w:r>
              <w:rPr>
                <w:spacing w:val="6"/>
                <w:sz w:val="24"/>
                <w:szCs w:val="32"/>
              </w:rPr>
              <w:t>mg/m</w:t>
            </w:r>
            <w:r>
              <w:rPr>
                <w:spacing w:val="6"/>
                <w:sz w:val="24"/>
                <w:szCs w:val="32"/>
                <w:vertAlign w:val="superscript"/>
              </w:rPr>
              <w:t>3</w:t>
            </w:r>
          </w:p>
          <w:p>
            <w:pPr>
              <w:spacing w:line="360" w:lineRule="auto"/>
              <w:ind w:firstLine="480" w:firstLineChars="200"/>
              <w:rPr>
                <w:bCs/>
                <w:sz w:val="24"/>
              </w:rPr>
            </w:pPr>
            <w:r>
              <w:rPr>
                <w:sz w:val="24"/>
              </w:rPr>
              <w:t>经计算，一期工程污染物排放浓度均可满足《山西省工业炉窑大气污染综合治理实施方案》（晋环大气[2019]164号）中规定的颗粒物、二氧化硫、氮氧化物排放限值分别不高于30mg/m</w:t>
            </w:r>
            <w:r>
              <w:rPr>
                <w:sz w:val="24"/>
                <w:vertAlign w:val="superscript"/>
              </w:rPr>
              <w:t>3</w:t>
            </w:r>
            <w:r>
              <w:rPr>
                <w:sz w:val="24"/>
              </w:rPr>
              <w:t>、200mg/m</w:t>
            </w:r>
            <w:r>
              <w:rPr>
                <w:sz w:val="24"/>
                <w:vertAlign w:val="superscript"/>
              </w:rPr>
              <w:t>3</w:t>
            </w:r>
            <w:r>
              <w:rPr>
                <w:sz w:val="24"/>
              </w:rPr>
              <w:t>、300mg/m</w:t>
            </w:r>
            <w:r>
              <w:rPr>
                <w:sz w:val="24"/>
                <w:vertAlign w:val="superscript"/>
              </w:rPr>
              <w:t>3</w:t>
            </w:r>
            <w:r>
              <w:rPr>
                <w:sz w:val="24"/>
              </w:rPr>
              <w:t>的排放限值要求</w:t>
            </w:r>
            <w:r>
              <w:rPr>
                <w:bCs/>
                <w:sz w:val="24"/>
              </w:rPr>
              <w:t>。</w:t>
            </w:r>
          </w:p>
          <w:p>
            <w:pPr>
              <w:spacing w:line="360" w:lineRule="auto"/>
              <w:ind w:firstLine="482" w:firstLineChars="200"/>
              <w:rPr>
                <w:b/>
                <w:bCs/>
                <w:sz w:val="24"/>
              </w:rPr>
            </w:pPr>
            <w:r>
              <w:rPr>
                <w:b/>
                <w:bCs/>
                <w:sz w:val="24"/>
              </w:rPr>
              <w:t>2、二期工程大气污染源强核算：</w:t>
            </w:r>
          </w:p>
          <w:p>
            <w:pPr>
              <w:spacing w:line="360" w:lineRule="auto"/>
              <w:ind w:firstLine="480" w:firstLineChars="200"/>
              <w:rPr>
                <w:sz w:val="24"/>
              </w:rPr>
            </w:pPr>
            <w:r>
              <w:rPr>
                <w:sz w:val="24"/>
              </w:rPr>
              <w:t>本项目产生的大气污染物为天然气加热炉产生的废气，主要污染物为烟尘、SO</w:t>
            </w:r>
            <w:r>
              <w:rPr>
                <w:sz w:val="24"/>
                <w:vertAlign w:val="subscript"/>
              </w:rPr>
              <w:t>2</w:t>
            </w:r>
            <w:r>
              <w:rPr>
                <w:sz w:val="24"/>
              </w:rPr>
              <w:t>、NO</w:t>
            </w:r>
            <w:r>
              <w:rPr>
                <w:sz w:val="24"/>
                <w:vertAlign w:val="subscript"/>
              </w:rPr>
              <w:t>X</w:t>
            </w:r>
            <w:r>
              <w:rPr>
                <w:sz w:val="24"/>
              </w:rPr>
              <w:t>。</w:t>
            </w:r>
          </w:p>
          <w:p>
            <w:pPr>
              <w:spacing w:line="360" w:lineRule="auto"/>
              <w:ind w:firstLine="480" w:firstLineChars="200"/>
              <w:rPr>
                <w:sz w:val="24"/>
              </w:rPr>
            </w:pPr>
            <w:r>
              <w:rPr>
                <w:sz w:val="24"/>
              </w:rPr>
              <w:t>（1）用气量计算</w:t>
            </w:r>
          </w:p>
          <w:p>
            <w:pPr>
              <w:spacing w:line="360" w:lineRule="auto"/>
              <w:ind w:firstLine="480" w:firstLineChars="200"/>
              <w:rPr>
                <w:sz w:val="24"/>
              </w:rPr>
            </w:pPr>
            <w:r>
              <w:rPr>
                <w:sz w:val="24"/>
              </w:rPr>
              <w:t>本工程原料加热过程采用天然气加热炉，天然气由山西国新定襄燃气有限公司管道天然气提供，天然气是轻烃气体燃料，是清洁能源，主要成份是甲烷和乙烷，约占97％以上。</w:t>
            </w:r>
          </w:p>
          <w:p>
            <w:pPr>
              <w:spacing w:line="360" w:lineRule="auto"/>
              <w:ind w:firstLine="480" w:firstLineChars="200"/>
              <w:rPr>
                <w:sz w:val="24"/>
              </w:rPr>
            </w:pPr>
            <w:r>
              <w:rPr>
                <w:sz w:val="24"/>
              </w:rPr>
              <w:t>根据类比定襄同类型企业得知，本项目生产一吨成品需用天然气量约100Nm</w:t>
            </w:r>
            <w:r>
              <w:rPr>
                <w:sz w:val="24"/>
                <w:vertAlign w:val="superscript"/>
              </w:rPr>
              <w:t>3</w:t>
            </w:r>
            <w:r>
              <w:rPr>
                <w:sz w:val="24"/>
              </w:rPr>
              <w:t>，二期工程年产2000t/a锻件、法兰，二期用气量2×10</w:t>
            </w:r>
            <w:r>
              <w:rPr>
                <w:rFonts w:hint="eastAsia"/>
                <w:sz w:val="24"/>
                <w:vertAlign w:val="superscript"/>
              </w:rPr>
              <w:t>5</w:t>
            </w:r>
            <w:r>
              <w:rPr>
                <w:sz w:val="24"/>
              </w:rPr>
              <w:t>Nm</w:t>
            </w:r>
            <w:r>
              <w:rPr>
                <w:sz w:val="24"/>
                <w:vertAlign w:val="superscript"/>
              </w:rPr>
              <w:t>3</w:t>
            </w:r>
            <w:r>
              <w:rPr>
                <w:sz w:val="24"/>
              </w:rPr>
              <w:t>/a。</w:t>
            </w:r>
          </w:p>
          <w:p>
            <w:pPr>
              <w:spacing w:line="360" w:lineRule="auto"/>
              <w:ind w:firstLine="480" w:firstLineChars="200"/>
              <w:rPr>
                <w:sz w:val="24"/>
              </w:rPr>
            </w:pPr>
            <w:r>
              <w:rPr>
                <w:sz w:val="24"/>
              </w:rPr>
              <w:t>（2）烟气量计算</w:t>
            </w:r>
          </w:p>
          <w:p>
            <w:pPr>
              <w:spacing w:line="360" w:lineRule="auto"/>
              <w:ind w:firstLine="480" w:firstLineChars="200"/>
              <w:rPr>
                <w:sz w:val="24"/>
              </w:rPr>
            </w:pPr>
            <w:r>
              <w:rPr>
                <w:sz w:val="24"/>
              </w:rPr>
              <w:t>根据天然气成分指标并结合加热炉的燃烧方式和燃烧温度，天然气加热炉烟气产生量经验值为13Nm</w:t>
            </w:r>
            <w:r>
              <w:rPr>
                <w:sz w:val="24"/>
                <w:vertAlign w:val="superscript"/>
              </w:rPr>
              <w:t>3</w:t>
            </w:r>
            <w:r>
              <w:rPr>
                <w:sz w:val="24"/>
              </w:rPr>
              <w:t>/m</w:t>
            </w:r>
            <w:r>
              <w:rPr>
                <w:sz w:val="24"/>
                <w:vertAlign w:val="superscript"/>
              </w:rPr>
              <w:t>3</w:t>
            </w:r>
            <w:r>
              <w:rPr>
                <w:sz w:val="24"/>
              </w:rPr>
              <w:t>天然气，本项目二期天然气加热炉产生的烟气量为：2×10</w:t>
            </w:r>
            <w:r>
              <w:rPr>
                <w:rFonts w:hint="eastAsia"/>
                <w:sz w:val="24"/>
                <w:vertAlign w:val="superscript"/>
              </w:rPr>
              <w:t>5</w:t>
            </w:r>
            <w:r>
              <w:rPr>
                <w:sz w:val="24"/>
              </w:rPr>
              <w:t>Nm</w:t>
            </w:r>
            <w:r>
              <w:rPr>
                <w:sz w:val="24"/>
                <w:vertAlign w:val="superscript"/>
              </w:rPr>
              <w:t>3</w:t>
            </w:r>
            <w:r>
              <w:rPr>
                <w:sz w:val="24"/>
              </w:rPr>
              <w:t>/a×13Nm</w:t>
            </w:r>
            <w:r>
              <w:rPr>
                <w:sz w:val="24"/>
                <w:vertAlign w:val="superscript"/>
              </w:rPr>
              <w:t>3</w:t>
            </w:r>
            <w:r>
              <w:rPr>
                <w:rFonts w:hint="eastAsia"/>
                <w:sz w:val="24"/>
              </w:rPr>
              <w:t>/m</w:t>
            </w:r>
            <w:r>
              <w:rPr>
                <w:rFonts w:hint="eastAsia"/>
                <w:sz w:val="24"/>
                <w:vertAlign w:val="superscript"/>
              </w:rPr>
              <w:t>3</w:t>
            </w:r>
            <w:r>
              <w:rPr>
                <w:sz w:val="24"/>
              </w:rPr>
              <w:t>=2</w:t>
            </w:r>
            <w:r>
              <w:rPr>
                <w:rFonts w:hint="eastAsia"/>
                <w:sz w:val="24"/>
              </w:rPr>
              <w:t>.6</w:t>
            </w:r>
            <w:r>
              <w:rPr>
                <w:sz w:val="24"/>
              </w:rPr>
              <w:t>×10</w:t>
            </w:r>
            <w:r>
              <w:rPr>
                <w:rFonts w:hint="eastAsia"/>
                <w:sz w:val="24"/>
                <w:vertAlign w:val="superscript"/>
              </w:rPr>
              <w:t>6</w:t>
            </w:r>
            <w:r>
              <w:rPr>
                <w:sz w:val="24"/>
              </w:rPr>
              <w:t>Nm</w:t>
            </w:r>
            <w:r>
              <w:rPr>
                <w:sz w:val="24"/>
                <w:vertAlign w:val="superscript"/>
              </w:rPr>
              <w:t>3</w:t>
            </w:r>
            <w:r>
              <w:rPr>
                <w:sz w:val="24"/>
              </w:rPr>
              <w:t>/a。</w:t>
            </w:r>
          </w:p>
          <w:p>
            <w:pPr>
              <w:spacing w:line="360" w:lineRule="auto"/>
              <w:ind w:firstLine="480" w:firstLineChars="200"/>
              <w:rPr>
                <w:sz w:val="24"/>
              </w:rPr>
            </w:pPr>
            <w:r>
              <w:rPr>
                <w:sz w:val="24"/>
              </w:rPr>
              <w:t>（3）污染物计算</w:t>
            </w:r>
          </w:p>
          <w:p>
            <w:pPr>
              <w:spacing w:line="360" w:lineRule="auto"/>
              <w:ind w:firstLine="480" w:firstLineChars="200"/>
              <w:rPr>
                <w:sz w:val="24"/>
              </w:rPr>
            </w:pPr>
            <w:r>
              <w:rPr>
                <w:sz w:val="24"/>
              </w:rPr>
              <w:t>本次评价对氮氧化物和烟尘排放量计算采用类比法，对二氧化硫排放量计算采用物料衡算法。</w:t>
            </w:r>
          </w:p>
          <w:p>
            <w:pPr>
              <w:spacing w:line="360" w:lineRule="auto"/>
              <w:ind w:firstLine="480" w:firstLineChars="200"/>
              <w:rPr>
                <w:sz w:val="24"/>
              </w:rPr>
            </w:pPr>
            <w:r>
              <w:rPr>
                <w:rFonts w:hint="eastAsia" w:ascii="宋体" w:hAnsi="宋体" w:cs="宋体"/>
                <w:sz w:val="24"/>
              </w:rPr>
              <w:t>①</w:t>
            </w:r>
            <w:r>
              <w:rPr>
                <w:sz w:val="24"/>
              </w:rPr>
              <w:t>NO</w:t>
            </w:r>
            <w:r>
              <w:rPr>
                <w:sz w:val="24"/>
                <w:vertAlign w:val="subscript"/>
              </w:rPr>
              <w:t>X</w:t>
            </w:r>
            <w:r>
              <w:rPr>
                <w:sz w:val="24"/>
              </w:rPr>
              <w:t>计算</w:t>
            </w:r>
          </w:p>
          <w:p>
            <w:pPr>
              <w:spacing w:line="360" w:lineRule="auto"/>
              <w:ind w:firstLine="480" w:firstLineChars="200"/>
              <w:rPr>
                <w:sz w:val="24"/>
              </w:rPr>
            </w:pPr>
            <w:r>
              <w:rPr>
                <w:sz w:val="24"/>
              </w:rPr>
              <w:t>二期工程设置1台天然气加热炉，使用1套SCR脱硝装置。</w:t>
            </w:r>
          </w:p>
          <w:p>
            <w:pPr>
              <w:tabs>
                <w:tab w:val="left" w:pos="7380"/>
              </w:tabs>
              <w:adjustRightInd w:val="0"/>
              <w:spacing w:line="360" w:lineRule="auto"/>
              <w:ind w:firstLine="496"/>
              <w:rPr>
                <w:spacing w:val="6"/>
                <w:sz w:val="24"/>
                <w:szCs w:val="32"/>
              </w:rPr>
            </w:pPr>
            <w:r>
              <w:rPr>
                <w:sz w:val="24"/>
                <w:szCs w:val="32"/>
              </w:rPr>
              <w:t>根据类比分析，</w:t>
            </w:r>
            <w:r>
              <w:rPr>
                <w:spacing w:val="6"/>
                <w:sz w:val="24"/>
                <w:szCs w:val="32"/>
              </w:rPr>
              <w:t>NO</w:t>
            </w:r>
            <w:r>
              <w:rPr>
                <w:spacing w:val="6"/>
                <w:sz w:val="24"/>
                <w:szCs w:val="32"/>
                <w:vertAlign w:val="subscript"/>
              </w:rPr>
              <w:t>X</w:t>
            </w:r>
            <w:r>
              <w:rPr>
                <w:spacing w:val="6"/>
                <w:sz w:val="24"/>
                <w:szCs w:val="32"/>
              </w:rPr>
              <w:t>的产生浓度均值浓度范围为</w:t>
            </w:r>
            <w:r>
              <w:rPr>
                <w:rFonts w:hint="eastAsia"/>
                <w:spacing w:val="6"/>
                <w:sz w:val="24"/>
                <w:szCs w:val="32"/>
              </w:rPr>
              <w:t>723.9</w:t>
            </w:r>
            <w:r>
              <w:rPr>
                <w:spacing w:val="6"/>
                <w:sz w:val="24"/>
                <w:szCs w:val="32"/>
              </w:rPr>
              <w:t>～</w:t>
            </w:r>
            <w:r>
              <w:rPr>
                <w:rFonts w:hint="eastAsia"/>
                <w:spacing w:val="6"/>
                <w:sz w:val="24"/>
                <w:szCs w:val="32"/>
              </w:rPr>
              <w:t>742.6</w:t>
            </w:r>
            <w:r>
              <w:rPr>
                <w:spacing w:val="6"/>
                <w:sz w:val="24"/>
                <w:szCs w:val="32"/>
              </w:rPr>
              <w:t>mg/m</w:t>
            </w:r>
            <w:r>
              <w:rPr>
                <w:spacing w:val="6"/>
                <w:sz w:val="24"/>
                <w:szCs w:val="32"/>
                <w:vertAlign w:val="superscript"/>
              </w:rPr>
              <w:t>3</w:t>
            </w:r>
            <w:r>
              <w:rPr>
                <w:spacing w:val="6"/>
                <w:sz w:val="24"/>
                <w:szCs w:val="32"/>
              </w:rPr>
              <w:t>，本次评价采用</w:t>
            </w:r>
            <w:r>
              <w:rPr>
                <w:rFonts w:hint="eastAsia"/>
                <w:spacing w:val="6"/>
                <w:sz w:val="24"/>
                <w:szCs w:val="32"/>
              </w:rPr>
              <w:t>800mg/m</w:t>
            </w:r>
            <w:r>
              <w:rPr>
                <w:rFonts w:hint="eastAsia"/>
                <w:spacing w:val="6"/>
                <w:sz w:val="24"/>
                <w:szCs w:val="32"/>
                <w:vertAlign w:val="superscript"/>
              </w:rPr>
              <w:t>3</w:t>
            </w:r>
            <w:r>
              <w:rPr>
                <w:rFonts w:hint="eastAsia"/>
                <w:spacing w:val="6"/>
                <w:sz w:val="24"/>
                <w:szCs w:val="32"/>
              </w:rPr>
              <w:t>，</w:t>
            </w:r>
            <w:r>
              <w:rPr>
                <w:spacing w:val="6"/>
                <w:sz w:val="24"/>
                <w:szCs w:val="32"/>
              </w:rPr>
              <w:t>则</w:t>
            </w:r>
            <w:r>
              <w:rPr>
                <w:rFonts w:hint="eastAsia"/>
                <w:spacing w:val="6"/>
                <w:sz w:val="24"/>
                <w:szCs w:val="32"/>
              </w:rPr>
              <w:t>NO</w:t>
            </w:r>
            <w:r>
              <w:rPr>
                <w:rFonts w:hint="eastAsia"/>
                <w:spacing w:val="6"/>
                <w:sz w:val="24"/>
                <w:szCs w:val="32"/>
                <w:vertAlign w:val="subscript"/>
              </w:rPr>
              <w:t>X</w:t>
            </w:r>
            <w:r>
              <w:rPr>
                <w:rFonts w:hint="eastAsia"/>
                <w:spacing w:val="6"/>
                <w:sz w:val="24"/>
                <w:szCs w:val="32"/>
              </w:rPr>
              <w:t>产生量为800mg/m</w:t>
            </w:r>
            <w:r>
              <w:rPr>
                <w:rFonts w:hint="eastAsia"/>
                <w:spacing w:val="6"/>
                <w:sz w:val="24"/>
                <w:szCs w:val="32"/>
                <w:vertAlign w:val="superscript"/>
              </w:rPr>
              <w:t>3</w:t>
            </w:r>
            <w:r>
              <w:rPr>
                <w:spacing w:val="6"/>
                <w:sz w:val="24"/>
                <w:szCs w:val="32"/>
              </w:rPr>
              <w:t>×</w:t>
            </w:r>
            <w:r>
              <w:rPr>
                <w:rFonts w:hint="eastAsia"/>
                <w:spacing w:val="6"/>
                <w:sz w:val="24"/>
                <w:szCs w:val="32"/>
              </w:rPr>
              <w:t>2.6</w:t>
            </w:r>
            <w:r>
              <w:rPr>
                <w:spacing w:val="6"/>
                <w:sz w:val="24"/>
                <w:szCs w:val="32"/>
              </w:rPr>
              <w:t>×10</w:t>
            </w:r>
            <w:r>
              <w:rPr>
                <w:rFonts w:hint="eastAsia"/>
                <w:spacing w:val="6"/>
                <w:sz w:val="24"/>
                <w:szCs w:val="32"/>
                <w:vertAlign w:val="superscript"/>
              </w:rPr>
              <w:t>6</w:t>
            </w:r>
            <w:r>
              <w:rPr>
                <w:spacing w:val="6"/>
                <w:sz w:val="24"/>
                <w:szCs w:val="32"/>
              </w:rPr>
              <w:t>Nm</w:t>
            </w:r>
            <w:r>
              <w:rPr>
                <w:spacing w:val="6"/>
                <w:sz w:val="24"/>
                <w:szCs w:val="32"/>
                <w:vertAlign w:val="superscript"/>
              </w:rPr>
              <w:t>3</w:t>
            </w:r>
            <w:r>
              <w:rPr>
                <w:rFonts w:hint="eastAsia"/>
                <w:spacing w:val="6"/>
                <w:sz w:val="24"/>
                <w:szCs w:val="32"/>
              </w:rPr>
              <w:t>=2.08t/a，</w:t>
            </w:r>
          </w:p>
          <w:p>
            <w:pPr>
              <w:spacing w:line="360" w:lineRule="auto"/>
              <w:ind w:firstLine="480" w:firstLineChars="200"/>
              <w:rPr>
                <w:spacing w:val="6"/>
                <w:sz w:val="24"/>
                <w:szCs w:val="32"/>
              </w:rPr>
            </w:pPr>
            <w:r>
              <w:rPr>
                <w:sz w:val="24"/>
              </w:rPr>
              <w:t>本项目烟气采用SCR脱硝方案，</w:t>
            </w:r>
            <w:r>
              <w:rPr>
                <w:sz w:val="24"/>
                <w:szCs w:val="32"/>
              </w:rPr>
              <w:t>SCR脱硝系统的脱硝效率按</w:t>
            </w:r>
            <w:r>
              <w:rPr>
                <w:rFonts w:hint="eastAsia"/>
                <w:sz w:val="24"/>
                <w:szCs w:val="32"/>
              </w:rPr>
              <w:t>80</w:t>
            </w:r>
            <w:r>
              <w:rPr>
                <w:sz w:val="24"/>
                <w:szCs w:val="32"/>
              </w:rPr>
              <w:t>%计算，</w:t>
            </w:r>
            <w:r>
              <w:rPr>
                <w:spacing w:val="6"/>
                <w:sz w:val="24"/>
                <w:szCs w:val="32"/>
              </w:rPr>
              <w:t>则排放浓度为800×（1-</w:t>
            </w:r>
            <w:r>
              <w:rPr>
                <w:rFonts w:hint="eastAsia"/>
                <w:spacing w:val="6"/>
                <w:sz w:val="24"/>
                <w:szCs w:val="32"/>
              </w:rPr>
              <w:t>80</w:t>
            </w:r>
            <w:r>
              <w:rPr>
                <w:spacing w:val="6"/>
                <w:sz w:val="24"/>
                <w:szCs w:val="32"/>
              </w:rPr>
              <w:t>%）=</w:t>
            </w:r>
            <w:r>
              <w:rPr>
                <w:rFonts w:hint="eastAsia"/>
                <w:spacing w:val="6"/>
                <w:sz w:val="24"/>
                <w:szCs w:val="32"/>
              </w:rPr>
              <w:t>160</w:t>
            </w:r>
            <w:r>
              <w:rPr>
                <w:spacing w:val="6"/>
                <w:sz w:val="24"/>
                <w:szCs w:val="32"/>
              </w:rPr>
              <w:t>mg/m</w:t>
            </w:r>
            <w:r>
              <w:rPr>
                <w:spacing w:val="6"/>
                <w:sz w:val="24"/>
                <w:szCs w:val="32"/>
                <w:vertAlign w:val="superscript"/>
              </w:rPr>
              <w:t>3</w:t>
            </w:r>
            <w:r>
              <w:rPr>
                <w:spacing w:val="6"/>
                <w:sz w:val="24"/>
                <w:szCs w:val="32"/>
              </w:rPr>
              <w:t>，则</w:t>
            </w:r>
          </w:p>
          <w:p>
            <w:pPr>
              <w:spacing w:line="360" w:lineRule="auto"/>
              <w:ind w:firstLine="504" w:firstLineChars="200"/>
              <w:rPr>
                <w:spacing w:val="6"/>
                <w:sz w:val="24"/>
                <w:szCs w:val="32"/>
              </w:rPr>
            </w:pPr>
            <w:r>
              <w:rPr>
                <w:spacing w:val="6"/>
                <w:sz w:val="24"/>
                <w:szCs w:val="32"/>
              </w:rPr>
              <w:t>天然气加热炉NO</w:t>
            </w:r>
            <w:r>
              <w:rPr>
                <w:spacing w:val="6"/>
                <w:sz w:val="24"/>
                <w:szCs w:val="32"/>
                <w:vertAlign w:val="subscript"/>
              </w:rPr>
              <w:t>X</w:t>
            </w:r>
            <w:r>
              <w:rPr>
                <w:spacing w:val="6"/>
                <w:sz w:val="24"/>
                <w:szCs w:val="32"/>
              </w:rPr>
              <w:t>排放量为</w:t>
            </w:r>
            <w:r>
              <w:rPr>
                <w:rFonts w:hint="eastAsia"/>
                <w:spacing w:val="6"/>
                <w:sz w:val="24"/>
                <w:szCs w:val="32"/>
              </w:rPr>
              <w:t>160</w:t>
            </w:r>
            <w:r>
              <w:rPr>
                <w:spacing w:val="6"/>
                <w:sz w:val="24"/>
                <w:szCs w:val="32"/>
              </w:rPr>
              <w:t>mg/m</w:t>
            </w:r>
            <w:r>
              <w:rPr>
                <w:spacing w:val="6"/>
                <w:sz w:val="24"/>
                <w:szCs w:val="32"/>
                <w:vertAlign w:val="superscript"/>
              </w:rPr>
              <w:t>3</w:t>
            </w:r>
            <w:r>
              <w:rPr>
                <w:spacing w:val="6"/>
                <w:sz w:val="24"/>
                <w:szCs w:val="32"/>
              </w:rPr>
              <w:t>×</w:t>
            </w:r>
            <w:r>
              <w:rPr>
                <w:rFonts w:hint="eastAsia"/>
                <w:spacing w:val="6"/>
                <w:sz w:val="24"/>
                <w:szCs w:val="32"/>
              </w:rPr>
              <w:t>2.6</w:t>
            </w:r>
            <w:r>
              <w:rPr>
                <w:spacing w:val="6"/>
                <w:sz w:val="24"/>
                <w:szCs w:val="32"/>
              </w:rPr>
              <w:t>×10</w:t>
            </w:r>
            <w:r>
              <w:rPr>
                <w:rFonts w:hint="eastAsia"/>
                <w:spacing w:val="6"/>
                <w:sz w:val="24"/>
                <w:szCs w:val="32"/>
                <w:vertAlign w:val="superscript"/>
              </w:rPr>
              <w:t>6</w:t>
            </w:r>
            <w:r>
              <w:rPr>
                <w:spacing w:val="6"/>
                <w:sz w:val="24"/>
                <w:szCs w:val="32"/>
              </w:rPr>
              <w:t>Nm</w:t>
            </w:r>
            <w:r>
              <w:rPr>
                <w:spacing w:val="6"/>
                <w:sz w:val="24"/>
                <w:szCs w:val="32"/>
                <w:vertAlign w:val="superscript"/>
              </w:rPr>
              <w:t>3</w:t>
            </w:r>
            <w:r>
              <w:rPr>
                <w:spacing w:val="6"/>
                <w:sz w:val="24"/>
                <w:szCs w:val="32"/>
              </w:rPr>
              <w:t>=</w:t>
            </w:r>
            <w:r>
              <w:rPr>
                <w:rFonts w:hint="eastAsia"/>
                <w:spacing w:val="6"/>
                <w:sz w:val="24"/>
                <w:szCs w:val="32"/>
              </w:rPr>
              <w:t>0.416</w:t>
            </w:r>
            <w:r>
              <w:rPr>
                <w:spacing w:val="6"/>
                <w:sz w:val="24"/>
                <w:szCs w:val="32"/>
              </w:rPr>
              <w:t>t</w:t>
            </w:r>
            <w:r>
              <w:rPr>
                <w:rFonts w:hint="eastAsia"/>
                <w:spacing w:val="6"/>
                <w:sz w:val="24"/>
                <w:szCs w:val="32"/>
              </w:rPr>
              <w:t>/a。</w:t>
            </w:r>
          </w:p>
          <w:p>
            <w:pPr>
              <w:tabs>
                <w:tab w:val="left" w:pos="7380"/>
              </w:tabs>
              <w:adjustRightInd w:val="0"/>
              <w:spacing w:line="360" w:lineRule="auto"/>
              <w:ind w:firstLine="496"/>
              <w:rPr>
                <w:spacing w:val="6"/>
                <w:sz w:val="24"/>
                <w:szCs w:val="32"/>
              </w:rPr>
            </w:pPr>
            <w:r>
              <w:rPr>
                <w:rFonts w:hint="eastAsia" w:ascii="宋体" w:hAnsi="宋体" w:cs="宋体"/>
                <w:spacing w:val="6"/>
                <w:sz w:val="24"/>
                <w:szCs w:val="32"/>
              </w:rPr>
              <w:t>②</w:t>
            </w:r>
            <w:r>
              <w:rPr>
                <w:spacing w:val="6"/>
                <w:sz w:val="24"/>
                <w:szCs w:val="32"/>
              </w:rPr>
              <w:t>烟尘计算</w:t>
            </w:r>
          </w:p>
          <w:p>
            <w:pPr>
              <w:tabs>
                <w:tab w:val="left" w:pos="7380"/>
              </w:tabs>
              <w:adjustRightInd w:val="0"/>
              <w:spacing w:line="360" w:lineRule="auto"/>
              <w:ind w:firstLine="496"/>
              <w:rPr>
                <w:spacing w:val="6"/>
                <w:sz w:val="24"/>
                <w:szCs w:val="32"/>
              </w:rPr>
            </w:pPr>
            <w:r>
              <w:rPr>
                <w:spacing w:val="6"/>
                <w:sz w:val="24"/>
                <w:szCs w:val="32"/>
              </w:rPr>
              <w:t>根据对实例的类比分析可知，加热炉烟尘（颗粒物）排放浓度平均值约为</w:t>
            </w:r>
            <w:r>
              <w:rPr>
                <w:rFonts w:hint="eastAsia"/>
                <w:spacing w:val="6"/>
                <w:sz w:val="24"/>
                <w:szCs w:val="32"/>
              </w:rPr>
              <w:t>14～20</w:t>
            </w:r>
            <w:r>
              <w:rPr>
                <w:spacing w:val="6"/>
                <w:sz w:val="24"/>
                <w:szCs w:val="32"/>
              </w:rPr>
              <w:t>mg/m</w:t>
            </w:r>
            <w:r>
              <w:rPr>
                <w:spacing w:val="6"/>
                <w:sz w:val="24"/>
                <w:szCs w:val="32"/>
                <w:vertAlign w:val="superscript"/>
              </w:rPr>
              <w:t>3</w:t>
            </w:r>
            <w:r>
              <w:rPr>
                <w:spacing w:val="6"/>
                <w:sz w:val="24"/>
                <w:szCs w:val="32"/>
              </w:rPr>
              <w:t>，本次评价按照</w:t>
            </w:r>
            <w:r>
              <w:rPr>
                <w:rFonts w:hint="eastAsia"/>
                <w:spacing w:val="6"/>
                <w:sz w:val="24"/>
                <w:szCs w:val="32"/>
              </w:rPr>
              <w:t>20</w:t>
            </w:r>
            <w:r>
              <w:rPr>
                <w:spacing w:val="6"/>
                <w:sz w:val="24"/>
                <w:szCs w:val="32"/>
              </w:rPr>
              <w:t>mg/m</w:t>
            </w:r>
            <w:r>
              <w:rPr>
                <w:spacing w:val="6"/>
                <w:sz w:val="24"/>
                <w:szCs w:val="32"/>
                <w:vertAlign w:val="superscript"/>
              </w:rPr>
              <w:t>3</w:t>
            </w:r>
            <w:r>
              <w:rPr>
                <w:spacing w:val="6"/>
                <w:sz w:val="24"/>
                <w:szCs w:val="32"/>
              </w:rPr>
              <w:t>计算，</w:t>
            </w:r>
          </w:p>
          <w:p>
            <w:pPr>
              <w:tabs>
                <w:tab w:val="left" w:pos="7380"/>
              </w:tabs>
              <w:adjustRightInd w:val="0"/>
              <w:spacing w:line="360" w:lineRule="auto"/>
              <w:ind w:firstLine="496"/>
              <w:rPr>
                <w:spacing w:val="6"/>
                <w:sz w:val="24"/>
                <w:szCs w:val="32"/>
              </w:rPr>
            </w:pPr>
            <w:r>
              <w:rPr>
                <w:spacing w:val="6"/>
                <w:sz w:val="24"/>
                <w:szCs w:val="32"/>
              </w:rPr>
              <w:t>二期天然气加热炉烟尘排放量为2</w:t>
            </w:r>
            <w:r>
              <w:rPr>
                <w:rFonts w:hint="eastAsia"/>
                <w:spacing w:val="6"/>
                <w:sz w:val="24"/>
                <w:szCs w:val="32"/>
              </w:rPr>
              <w:t>0</w:t>
            </w:r>
            <w:r>
              <w:rPr>
                <w:spacing w:val="6"/>
                <w:sz w:val="24"/>
                <w:szCs w:val="32"/>
              </w:rPr>
              <w:t>mg/m</w:t>
            </w:r>
            <w:r>
              <w:rPr>
                <w:spacing w:val="6"/>
                <w:sz w:val="24"/>
                <w:szCs w:val="32"/>
                <w:vertAlign w:val="superscript"/>
              </w:rPr>
              <w:t>3</w:t>
            </w:r>
            <w:r>
              <w:rPr>
                <w:spacing w:val="6"/>
                <w:sz w:val="24"/>
                <w:szCs w:val="32"/>
              </w:rPr>
              <w:t>×2</w:t>
            </w:r>
            <w:r>
              <w:rPr>
                <w:rFonts w:hint="eastAsia"/>
                <w:spacing w:val="6"/>
                <w:sz w:val="24"/>
                <w:szCs w:val="32"/>
              </w:rPr>
              <w:t>.6</w:t>
            </w:r>
            <w:r>
              <w:rPr>
                <w:spacing w:val="6"/>
                <w:sz w:val="24"/>
                <w:szCs w:val="32"/>
              </w:rPr>
              <w:t>×10</w:t>
            </w:r>
            <w:r>
              <w:rPr>
                <w:rFonts w:hint="eastAsia"/>
                <w:spacing w:val="6"/>
                <w:sz w:val="24"/>
                <w:szCs w:val="32"/>
                <w:vertAlign w:val="superscript"/>
              </w:rPr>
              <w:t>6</w:t>
            </w:r>
            <w:r>
              <w:rPr>
                <w:spacing w:val="6"/>
                <w:sz w:val="24"/>
                <w:szCs w:val="32"/>
              </w:rPr>
              <w:t>Nm</w:t>
            </w:r>
            <w:r>
              <w:rPr>
                <w:spacing w:val="6"/>
                <w:sz w:val="24"/>
                <w:szCs w:val="32"/>
                <w:vertAlign w:val="superscript"/>
              </w:rPr>
              <w:t>3</w:t>
            </w:r>
            <w:r>
              <w:rPr>
                <w:spacing w:val="6"/>
                <w:sz w:val="24"/>
                <w:szCs w:val="32"/>
              </w:rPr>
              <w:t>=0.0</w:t>
            </w:r>
            <w:r>
              <w:rPr>
                <w:rFonts w:hint="eastAsia"/>
                <w:spacing w:val="6"/>
                <w:sz w:val="24"/>
                <w:szCs w:val="32"/>
              </w:rPr>
              <w:t>52</w:t>
            </w:r>
            <w:r>
              <w:rPr>
                <w:spacing w:val="6"/>
                <w:sz w:val="24"/>
                <w:szCs w:val="32"/>
              </w:rPr>
              <w:t>t/a</w:t>
            </w:r>
          </w:p>
          <w:p>
            <w:pPr>
              <w:tabs>
                <w:tab w:val="left" w:pos="7380"/>
              </w:tabs>
              <w:adjustRightInd w:val="0"/>
              <w:spacing w:line="360" w:lineRule="auto"/>
              <w:ind w:firstLine="496"/>
              <w:rPr>
                <w:spacing w:val="6"/>
                <w:sz w:val="24"/>
                <w:szCs w:val="32"/>
              </w:rPr>
            </w:pPr>
            <w:r>
              <w:rPr>
                <w:rFonts w:hint="eastAsia" w:ascii="宋体" w:hAnsi="宋体" w:cs="宋体"/>
                <w:spacing w:val="6"/>
                <w:sz w:val="24"/>
                <w:szCs w:val="32"/>
              </w:rPr>
              <w:t>③</w:t>
            </w:r>
            <w:r>
              <w:rPr>
                <w:spacing w:val="6"/>
                <w:sz w:val="24"/>
                <w:szCs w:val="32"/>
              </w:rPr>
              <w:t>SO</w:t>
            </w:r>
            <w:r>
              <w:rPr>
                <w:spacing w:val="6"/>
                <w:sz w:val="24"/>
                <w:szCs w:val="32"/>
                <w:vertAlign w:val="subscript"/>
              </w:rPr>
              <w:t>2</w:t>
            </w:r>
            <w:r>
              <w:rPr>
                <w:spacing w:val="6"/>
                <w:sz w:val="24"/>
                <w:szCs w:val="32"/>
              </w:rPr>
              <w:t>计算</w:t>
            </w:r>
          </w:p>
          <w:p>
            <w:pPr>
              <w:tabs>
                <w:tab w:val="left" w:pos="7380"/>
              </w:tabs>
              <w:adjustRightInd w:val="0"/>
              <w:spacing w:line="360" w:lineRule="auto"/>
              <w:ind w:firstLine="496"/>
              <w:rPr>
                <w:spacing w:val="6"/>
                <w:sz w:val="24"/>
                <w:szCs w:val="32"/>
              </w:rPr>
            </w:pPr>
            <w:r>
              <w:rPr>
                <w:spacing w:val="6"/>
                <w:sz w:val="24"/>
                <w:szCs w:val="32"/>
              </w:rPr>
              <w:t>本项目SO</w:t>
            </w:r>
            <w:r>
              <w:rPr>
                <w:spacing w:val="6"/>
                <w:sz w:val="24"/>
                <w:szCs w:val="32"/>
                <w:vertAlign w:val="subscript"/>
              </w:rPr>
              <w:t>2</w:t>
            </w:r>
            <w:r>
              <w:rPr>
                <w:spacing w:val="6"/>
                <w:sz w:val="24"/>
                <w:szCs w:val="32"/>
              </w:rPr>
              <w:t>的产生量按照天然气中H</w:t>
            </w:r>
            <w:r>
              <w:rPr>
                <w:spacing w:val="6"/>
                <w:sz w:val="24"/>
                <w:szCs w:val="32"/>
                <w:vertAlign w:val="subscript"/>
              </w:rPr>
              <w:t>2</w:t>
            </w:r>
            <w:r>
              <w:rPr>
                <w:spacing w:val="6"/>
                <w:sz w:val="24"/>
                <w:szCs w:val="32"/>
              </w:rPr>
              <w:t>S含量最大值计算，即天然气中H</w:t>
            </w:r>
            <w:r>
              <w:rPr>
                <w:spacing w:val="6"/>
                <w:sz w:val="24"/>
                <w:szCs w:val="32"/>
                <w:vertAlign w:val="subscript"/>
              </w:rPr>
              <w:t>2</w:t>
            </w:r>
            <w:r>
              <w:rPr>
                <w:spacing w:val="6"/>
                <w:sz w:val="24"/>
                <w:szCs w:val="32"/>
              </w:rPr>
              <w:t>S含量为</w:t>
            </w:r>
            <w:r>
              <w:rPr>
                <w:rFonts w:hint="eastAsia"/>
                <w:spacing w:val="6"/>
                <w:sz w:val="24"/>
                <w:szCs w:val="32"/>
              </w:rPr>
              <w:t>20</w:t>
            </w:r>
            <w:r>
              <w:rPr>
                <w:spacing w:val="6"/>
                <w:sz w:val="24"/>
                <w:szCs w:val="32"/>
              </w:rPr>
              <w:t>mg/m</w:t>
            </w:r>
            <w:r>
              <w:rPr>
                <w:spacing w:val="6"/>
                <w:sz w:val="24"/>
                <w:szCs w:val="32"/>
                <w:vertAlign w:val="superscript"/>
              </w:rPr>
              <w:t>3</w:t>
            </w:r>
            <w:r>
              <w:rPr>
                <w:spacing w:val="6"/>
                <w:sz w:val="24"/>
                <w:szCs w:val="32"/>
              </w:rPr>
              <w:t>。</w:t>
            </w:r>
          </w:p>
          <w:p>
            <w:pPr>
              <w:tabs>
                <w:tab w:val="left" w:pos="7380"/>
              </w:tabs>
              <w:adjustRightInd w:val="0"/>
              <w:spacing w:line="360" w:lineRule="auto"/>
              <w:ind w:firstLine="496"/>
              <w:rPr>
                <w:spacing w:val="6"/>
                <w:sz w:val="24"/>
                <w:szCs w:val="32"/>
              </w:rPr>
            </w:pPr>
            <w:r>
              <w:rPr>
                <w:spacing w:val="6"/>
                <w:sz w:val="24"/>
                <w:szCs w:val="32"/>
              </w:rPr>
              <w:t>H</w:t>
            </w:r>
            <w:r>
              <w:rPr>
                <w:spacing w:val="6"/>
                <w:sz w:val="24"/>
                <w:szCs w:val="32"/>
                <w:vertAlign w:val="subscript"/>
              </w:rPr>
              <w:t>2</w:t>
            </w:r>
            <w:r>
              <w:rPr>
                <w:spacing w:val="6"/>
                <w:sz w:val="24"/>
                <w:szCs w:val="32"/>
              </w:rPr>
              <w:t>S经燃烧后生成SO</w:t>
            </w:r>
            <w:r>
              <w:rPr>
                <w:spacing w:val="6"/>
                <w:sz w:val="24"/>
                <w:szCs w:val="32"/>
                <w:vertAlign w:val="subscript"/>
              </w:rPr>
              <w:t>2</w:t>
            </w:r>
            <w:r>
              <w:rPr>
                <w:spacing w:val="6"/>
                <w:sz w:val="24"/>
                <w:szCs w:val="32"/>
              </w:rPr>
              <w:t>，化学方程式如下：</w:t>
            </w:r>
          </w:p>
          <w:p>
            <w:pPr>
              <w:tabs>
                <w:tab w:val="left" w:pos="7380"/>
              </w:tabs>
              <w:adjustRightInd w:val="0"/>
              <w:spacing w:line="360" w:lineRule="auto"/>
              <w:ind w:firstLine="496"/>
              <w:rPr>
                <w:spacing w:val="6"/>
                <w:sz w:val="24"/>
                <w:szCs w:val="32"/>
              </w:rPr>
            </w:pPr>
            <w:r>
              <w:rPr>
                <w:spacing w:val="6"/>
                <w:sz w:val="24"/>
                <w:szCs w:val="32"/>
              </w:rPr>
              <w:t>2H</w:t>
            </w:r>
            <w:r>
              <w:rPr>
                <w:spacing w:val="6"/>
                <w:sz w:val="24"/>
                <w:szCs w:val="32"/>
                <w:vertAlign w:val="subscript"/>
              </w:rPr>
              <w:t>2</w:t>
            </w:r>
            <w:r>
              <w:rPr>
                <w:spacing w:val="6"/>
                <w:sz w:val="24"/>
                <w:szCs w:val="32"/>
              </w:rPr>
              <w:t>S+3O</w:t>
            </w:r>
            <w:r>
              <w:rPr>
                <w:spacing w:val="6"/>
                <w:sz w:val="24"/>
                <w:szCs w:val="32"/>
                <w:vertAlign w:val="subscript"/>
              </w:rPr>
              <w:t>2</w:t>
            </w:r>
            <w:r>
              <w:rPr>
                <w:spacing w:val="6"/>
                <w:sz w:val="24"/>
                <w:szCs w:val="32"/>
              </w:rPr>
              <w:t>→2SO</w:t>
            </w:r>
            <w:r>
              <w:rPr>
                <w:spacing w:val="6"/>
                <w:sz w:val="24"/>
                <w:szCs w:val="32"/>
                <w:vertAlign w:val="subscript"/>
              </w:rPr>
              <w:t>2</w:t>
            </w:r>
            <w:r>
              <w:rPr>
                <w:spacing w:val="6"/>
                <w:sz w:val="24"/>
                <w:szCs w:val="32"/>
              </w:rPr>
              <w:t>+2H</w:t>
            </w:r>
            <w:r>
              <w:rPr>
                <w:spacing w:val="6"/>
                <w:sz w:val="24"/>
                <w:szCs w:val="32"/>
                <w:vertAlign w:val="subscript"/>
              </w:rPr>
              <w:t>2</w:t>
            </w:r>
            <w:r>
              <w:rPr>
                <w:spacing w:val="6"/>
                <w:sz w:val="24"/>
                <w:szCs w:val="32"/>
              </w:rPr>
              <w:t>O</w:t>
            </w:r>
          </w:p>
          <w:p>
            <w:pPr>
              <w:tabs>
                <w:tab w:val="left" w:pos="7380"/>
              </w:tabs>
              <w:adjustRightInd w:val="0"/>
              <w:spacing w:line="360" w:lineRule="auto"/>
              <w:ind w:firstLine="496"/>
              <w:rPr>
                <w:sz w:val="24"/>
              </w:rPr>
            </w:pPr>
            <w:r>
              <w:rPr>
                <w:spacing w:val="6"/>
                <w:sz w:val="24"/>
                <w:szCs w:val="32"/>
              </w:rPr>
              <w:t>二期天然气H</w:t>
            </w:r>
            <w:r>
              <w:rPr>
                <w:spacing w:val="6"/>
                <w:sz w:val="24"/>
                <w:szCs w:val="32"/>
                <w:vertAlign w:val="subscript"/>
              </w:rPr>
              <w:t>2</w:t>
            </w:r>
            <w:r>
              <w:rPr>
                <w:spacing w:val="6"/>
                <w:sz w:val="24"/>
                <w:szCs w:val="32"/>
              </w:rPr>
              <w:t>S总含量为</w:t>
            </w:r>
            <w:r>
              <w:rPr>
                <w:rFonts w:hint="eastAsia"/>
                <w:spacing w:val="6"/>
                <w:sz w:val="24"/>
                <w:szCs w:val="32"/>
              </w:rPr>
              <w:t>20</w:t>
            </w:r>
            <w:r>
              <w:rPr>
                <w:spacing w:val="6"/>
                <w:sz w:val="24"/>
                <w:szCs w:val="32"/>
              </w:rPr>
              <w:t>mg/m</w:t>
            </w:r>
            <w:r>
              <w:rPr>
                <w:spacing w:val="6"/>
                <w:sz w:val="24"/>
                <w:szCs w:val="32"/>
                <w:vertAlign w:val="superscript"/>
              </w:rPr>
              <w:t>3</w:t>
            </w:r>
            <w:r>
              <w:rPr>
                <w:spacing w:val="6"/>
                <w:sz w:val="24"/>
                <w:szCs w:val="32"/>
              </w:rPr>
              <w:t>×2×10</w:t>
            </w:r>
            <w:r>
              <w:rPr>
                <w:rFonts w:hint="eastAsia"/>
                <w:spacing w:val="6"/>
                <w:sz w:val="24"/>
                <w:szCs w:val="32"/>
                <w:vertAlign w:val="superscript"/>
              </w:rPr>
              <w:t>5</w:t>
            </w:r>
            <w:r>
              <w:rPr>
                <w:spacing w:val="6"/>
                <w:sz w:val="24"/>
                <w:szCs w:val="32"/>
              </w:rPr>
              <w:t>Nm</w:t>
            </w:r>
            <w:r>
              <w:rPr>
                <w:spacing w:val="6"/>
                <w:sz w:val="24"/>
                <w:szCs w:val="32"/>
                <w:vertAlign w:val="superscript"/>
              </w:rPr>
              <w:t>3</w:t>
            </w:r>
            <w:r>
              <w:rPr>
                <w:spacing w:val="6"/>
                <w:sz w:val="24"/>
                <w:szCs w:val="32"/>
              </w:rPr>
              <w:t>=</w:t>
            </w:r>
            <w:r>
              <w:rPr>
                <w:rFonts w:hint="eastAsia"/>
                <w:spacing w:val="6"/>
                <w:sz w:val="24"/>
                <w:szCs w:val="32"/>
              </w:rPr>
              <w:t>4</w:t>
            </w:r>
            <w:r>
              <w:rPr>
                <w:sz w:val="24"/>
              </w:rPr>
              <w:t>×10</w:t>
            </w:r>
            <w:r>
              <w:rPr>
                <w:sz w:val="24"/>
                <w:vertAlign w:val="superscript"/>
              </w:rPr>
              <w:t>-</w:t>
            </w:r>
            <w:r>
              <w:rPr>
                <w:rFonts w:hint="eastAsia"/>
                <w:sz w:val="24"/>
                <w:vertAlign w:val="superscript"/>
              </w:rPr>
              <w:t>3</w:t>
            </w:r>
            <w:r>
              <w:rPr>
                <w:sz w:val="24"/>
              </w:rPr>
              <w:t>t</w:t>
            </w:r>
          </w:p>
          <w:p>
            <w:pPr>
              <w:tabs>
                <w:tab w:val="left" w:pos="7380"/>
              </w:tabs>
              <w:adjustRightInd w:val="0"/>
              <w:spacing w:line="360" w:lineRule="auto"/>
              <w:ind w:firstLine="496"/>
              <w:rPr>
                <w:spacing w:val="6"/>
                <w:sz w:val="24"/>
                <w:szCs w:val="32"/>
              </w:rPr>
            </w:pPr>
            <w:r>
              <w:rPr>
                <w:sz w:val="24"/>
              </w:rPr>
              <w:t>天然气加热炉SO</w:t>
            </w:r>
            <w:r>
              <w:rPr>
                <w:sz w:val="24"/>
                <w:vertAlign w:val="subscript"/>
              </w:rPr>
              <w:t>2</w:t>
            </w:r>
            <w:r>
              <w:rPr>
                <w:sz w:val="24"/>
              </w:rPr>
              <w:t>产生量为</w:t>
            </w:r>
            <w:r>
              <w:rPr>
                <w:rFonts w:hint="eastAsia"/>
                <w:spacing w:val="6"/>
                <w:sz w:val="24"/>
                <w:szCs w:val="32"/>
              </w:rPr>
              <w:t>4</w:t>
            </w:r>
            <w:r>
              <w:rPr>
                <w:sz w:val="24"/>
              </w:rPr>
              <w:t>×10</w:t>
            </w:r>
            <w:r>
              <w:rPr>
                <w:sz w:val="24"/>
                <w:vertAlign w:val="superscript"/>
              </w:rPr>
              <w:t>-</w:t>
            </w:r>
            <w:r>
              <w:rPr>
                <w:rFonts w:hint="eastAsia"/>
                <w:sz w:val="24"/>
                <w:vertAlign w:val="superscript"/>
              </w:rPr>
              <w:t>3</w:t>
            </w:r>
            <w:r>
              <w:rPr>
                <w:sz w:val="24"/>
              </w:rPr>
              <w:t>t</w:t>
            </w:r>
            <w:r>
              <w:rPr>
                <w:spacing w:val="6"/>
                <w:sz w:val="24"/>
                <w:szCs w:val="32"/>
              </w:rPr>
              <w:t>×128/68=0.00</w:t>
            </w:r>
            <w:r>
              <w:rPr>
                <w:rFonts w:hint="eastAsia"/>
                <w:spacing w:val="6"/>
                <w:sz w:val="24"/>
                <w:szCs w:val="32"/>
              </w:rPr>
              <w:t>8</w:t>
            </w:r>
            <w:r>
              <w:rPr>
                <w:spacing w:val="6"/>
                <w:sz w:val="24"/>
                <w:szCs w:val="32"/>
              </w:rPr>
              <w:t>t/a</w:t>
            </w:r>
          </w:p>
          <w:p>
            <w:pPr>
              <w:tabs>
                <w:tab w:val="left" w:pos="7380"/>
              </w:tabs>
              <w:adjustRightInd w:val="0"/>
              <w:spacing w:line="360" w:lineRule="auto"/>
              <w:ind w:firstLine="496"/>
              <w:rPr>
                <w:spacing w:val="6"/>
                <w:sz w:val="24"/>
                <w:szCs w:val="32"/>
              </w:rPr>
            </w:pPr>
            <w:r>
              <w:rPr>
                <w:sz w:val="24"/>
                <w:szCs w:val="32"/>
              </w:rPr>
              <w:t>天然气加热炉SO</w:t>
            </w:r>
            <w:r>
              <w:rPr>
                <w:sz w:val="24"/>
                <w:szCs w:val="32"/>
                <w:vertAlign w:val="subscript"/>
              </w:rPr>
              <w:t>2</w:t>
            </w:r>
            <w:r>
              <w:rPr>
                <w:sz w:val="24"/>
                <w:szCs w:val="32"/>
              </w:rPr>
              <w:t>产生浓度为</w:t>
            </w:r>
            <w:r>
              <w:rPr>
                <w:spacing w:val="6"/>
                <w:sz w:val="24"/>
                <w:szCs w:val="32"/>
              </w:rPr>
              <w:t>0.00</w:t>
            </w:r>
            <w:r>
              <w:rPr>
                <w:rFonts w:hint="eastAsia"/>
                <w:spacing w:val="6"/>
                <w:sz w:val="24"/>
                <w:szCs w:val="32"/>
              </w:rPr>
              <w:t>8</w:t>
            </w:r>
            <w:r>
              <w:rPr>
                <w:spacing w:val="6"/>
                <w:sz w:val="24"/>
                <w:szCs w:val="32"/>
              </w:rPr>
              <w:t>×10</w:t>
            </w:r>
            <w:r>
              <w:rPr>
                <w:spacing w:val="6"/>
                <w:sz w:val="24"/>
                <w:szCs w:val="32"/>
                <w:vertAlign w:val="superscript"/>
              </w:rPr>
              <w:t>9</w:t>
            </w:r>
            <w:r>
              <w:rPr>
                <w:spacing w:val="6"/>
                <w:sz w:val="24"/>
                <w:szCs w:val="32"/>
              </w:rPr>
              <w:t>t/a÷（2</w:t>
            </w:r>
            <w:r>
              <w:rPr>
                <w:rFonts w:hint="eastAsia"/>
                <w:spacing w:val="6"/>
                <w:sz w:val="24"/>
                <w:szCs w:val="32"/>
              </w:rPr>
              <w:t>.6</w:t>
            </w:r>
            <w:r>
              <w:rPr>
                <w:spacing w:val="6"/>
                <w:sz w:val="24"/>
                <w:szCs w:val="32"/>
              </w:rPr>
              <w:t>×10</w:t>
            </w:r>
            <w:r>
              <w:rPr>
                <w:rFonts w:hint="eastAsia"/>
                <w:spacing w:val="6"/>
                <w:sz w:val="24"/>
                <w:szCs w:val="32"/>
                <w:vertAlign w:val="superscript"/>
              </w:rPr>
              <w:t>6</w:t>
            </w:r>
            <w:r>
              <w:rPr>
                <w:spacing w:val="6"/>
                <w:sz w:val="24"/>
                <w:szCs w:val="32"/>
              </w:rPr>
              <w:t>）Nm</w:t>
            </w:r>
            <w:r>
              <w:rPr>
                <w:spacing w:val="6"/>
                <w:sz w:val="24"/>
                <w:szCs w:val="32"/>
                <w:vertAlign w:val="superscript"/>
              </w:rPr>
              <w:t>3</w:t>
            </w:r>
            <w:r>
              <w:rPr>
                <w:spacing w:val="6"/>
                <w:sz w:val="24"/>
                <w:szCs w:val="32"/>
              </w:rPr>
              <w:t>/a=</w:t>
            </w:r>
            <w:r>
              <w:rPr>
                <w:rFonts w:hint="eastAsia"/>
                <w:spacing w:val="6"/>
                <w:sz w:val="24"/>
                <w:szCs w:val="32"/>
              </w:rPr>
              <w:t>3.08</w:t>
            </w:r>
            <w:r>
              <w:rPr>
                <w:spacing w:val="6"/>
                <w:sz w:val="24"/>
                <w:szCs w:val="32"/>
              </w:rPr>
              <w:t>mg/m</w:t>
            </w:r>
            <w:r>
              <w:rPr>
                <w:spacing w:val="6"/>
                <w:sz w:val="24"/>
                <w:szCs w:val="32"/>
                <w:vertAlign w:val="superscript"/>
              </w:rPr>
              <w:t>3</w:t>
            </w:r>
          </w:p>
          <w:p>
            <w:pPr>
              <w:spacing w:line="360" w:lineRule="auto"/>
              <w:ind w:firstLine="480" w:firstLineChars="200"/>
              <w:rPr>
                <w:bCs/>
                <w:sz w:val="24"/>
              </w:rPr>
            </w:pPr>
            <w:r>
              <w:rPr>
                <w:sz w:val="24"/>
              </w:rPr>
              <w:t>经计算，二期工程污染物排放浓度均可满足《山西省工业炉窑大气污染综合治理实施方案》（晋环大气[2019]164号）中规定的颗粒物、二氧化硫、氮氧化物排放限值分别不高于30mg/m</w:t>
            </w:r>
            <w:r>
              <w:rPr>
                <w:sz w:val="24"/>
                <w:vertAlign w:val="superscript"/>
              </w:rPr>
              <w:t>3</w:t>
            </w:r>
            <w:r>
              <w:rPr>
                <w:sz w:val="24"/>
              </w:rPr>
              <w:t>、200mg/m</w:t>
            </w:r>
            <w:r>
              <w:rPr>
                <w:sz w:val="24"/>
                <w:vertAlign w:val="superscript"/>
              </w:rPr>
              <w:t>3</w:t>
            </w:r>
            <w:r>
              <w:rPr>
                <w:sz w:val="24"/>
              </w:rPr>
              <w:t>、300mg/m</w:t>
            </w:r>
            <w:r>
              <w:rPr>
                <w:sz w:val="24"/>
                <w:vertAlign w:val="superscript"/>
              </w:rPr>
              <w:t>3</w:t>
            </w:r>
            <w:r>
              <w:rPr>
                <w:sz w:val="24"/>
              </w:rPr>
              <w:t>的排放限值要求</w:t>
            </w:r>
            <w:r>
              <w:rPr>
                <w:bCs/>
                <w:sz w:val="24"/>
              </w:rPr>
              <w:t>。</w:t>
            </w:r>
          </w:p>
          <w:p>
            <w:pPr>
              <w:spacing w:line="360" w:lineRule="auto"/>
              <w:ind w:firstLine="482" w:firstLineChars="200"/>
              <w:rPr>
                <w:b/>
                <w:bCs/>
                <w:sz w:val="24"/>
              </w:rPr>
            </w:pPr>
            <w:r>
              <w:rPr>
                <w:rFonts w:hint="eastAsia"/>
                <w:b/>
                <w:bCs/>
                <w:sz w:val="24"/>
              </w:rPr>
              <w:t>3、生产设施非正常情况分析</w:t>
            </w:r>
          </w:p>
          <w:p>
            <w:pPr>
              <w:spacing w:line="360" w:lineRule="auto"/>
              <w:ind w:firstLine="480" w:firstLineChars="200"/>
              <w:rPr>
                <w:sz w:val="24"/>
              </w:rPr>
            </w:pPr>
            <w:r>
              <w:rPr>
                <w:rFonts w:hint="eastAsia"/>
                <w:sz w:val="24"/>
              </w:rPr>
              <w:t>项目生产设施非正常情况为脱硝设施发生故障开停炉的5分钟内。</w:t>
            </w:r>
          </w:p>
          <w:p>
            <w:pPr>
              <w:spacing w:line="360" w:lineRule="auto"/>
              <w:jc w:val="center"/>
              <w:rPr>
                <w:b/>
                <w:bCs/>
                <w:szCs w:val="21"/>
              </w:rPr>
            </w:pPr>
            <w:r>
              <w:rPr>
                <w:b/>
                <w:bCs/>
                <w:szCs w:val="21"/>
              </w:rPr>
              <w:t>表2</w:t>
            </w:r>
            <w:r>
              <w:rPr>
                <w:rFonts w:hint="eastAsia"/>
                <w:b/>
                <w:bCs/>
                <w:szCs w:val="21"/>
              </w:rPr>
              <w:t>8</w:t>
            </w:r>
            <w:r>
              <w:rPr>
                <w:b/>
                <w:bCs/>
                <w:szCs w:val="21"/>
              </w:rPr>
              <w:t xml:space="preserve">  </w:t>
            </w:r>
            <w:r>
              <w:rPr>
                <w:rFonts w:hint="eastAsia"/>
                <w:b/>
                <w:bCs/>
                <w:szCs w:val="21"/>
              </w:rPr>
              <w:t>非正常</w:t>
            </w:r>
            <w:r>
              <w:rPr>
                <w:b/>
                <w:bCs/>
                <w:szCs w:val="21"/>
              </w:rPr>
              <w:t>情况分析</w:t>
            </w:r>
          </w:p>
          <w:tbl>
            <w:tblPr>
              <w:tblStyle w:val="13"/>
              <w:tblW w:w="8219"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9"/>
              <w:gridCol w:w="992"/>
              <w:gridCol w:w="1276"/>
              <w:gridCol w:w="1417"/>
              <w:gridCol w:w="993"/>
              <w:gridCol w:w="26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69" w:type="dxa"/>
                  <w:vAlign w:val="center"/>
                </w:tcPr>
                <w:p>
                  <w:pPr>
                    <w:jc w:val="center"/>
                    <w:rPr>
                      <w:b/>
                      <w:bCs/>
                      <w:szCs w:val="21"/>
                    </w:rPr>
                  </w:pPr>
                </w:p>
              </w:tc>
              <w:tc>
                <w:tcPr>
                  <w:tcW w:w="992" w:type="dxa"/>
                  <w:vAlign w:val="center"/>
                </w:tcPr>
                <w:p>
                  <w:pPr>
                    <w:jc w:val="center"/>
                    <w:rPr>
                      <w:b/>
                      <w:bCs/>
                      <w:szCs w:val="21"/>
                    </w:rPr>
                  </w:pPr>
                  <w:r>
                    <w:rPr>
                      <w:b/>
                      <w:bCs/>
                      <w:szCs w:val="21"/>
                    </w:rPr>
                    <w:t>频次</w:t>
                  </w:r>
                </w:p>
              </w:tc>
              <w:tc>
                <w:tcPr>
                  <w:tcW w:w="1276" w:type="dxa"/>
                  <w:vAlign w:val="center"/>
                </w:tcPr>
                <w:p>
                  <w:pPr>
                    <w:jc w:val="center"/>
                    <w:rPr>
                      <w:b/>
                      <w:bCs/>
                      <w:szCs w:val="21"/>
                    </w:rPr>
                  </w:pPr>
                  <w:r>
                    <w:rPr>
                      <w:b/>
                      <w:bCs/>
                      <w:szCs w:val="21"/>
                    </w:rPr>
                    <w:t>排放浓度</w:t>
                  </w:r>
                </w:p>
              </w:tc>
              <w:tc>
                <w:tcPr>
                  <w:tcW w:w="1417" w:type="dxa"/>
                  <w:vAlign w:val="center"/>
                </w:tcPr>
                <w:p>
                  <w:pPr>
                    <w:jc w:val="center"/>
                    <w:rPr>
                      <w:b/>
                      <w:bCs/>
                      <w:szCs w:val="21"/>
                    </w:rPr>
                  </w:pPr>
                  <w:r>
                    <w:rPr>
                      <w:b/>
                      <w:bCs/>
                      <w:szCs w:val="21"/>
                    </w:rPr>
                    <w:t>持续时间</w:t>
                  </w:r>
                </w:p>
              </w:tc>
              <w:tc>
                <w:tcPr>
                  <w:tcW w:w="993" w:type="dxa"/>
                  <w:vAlign w:val="center"/>
                </w:tcPr>
                <w:p>
                  <w:pPr>
                    <w:jc w:val="center"/>
                    <w:rPr>
                      <w:b/>
                      <w:bCs/>
                      <w:szCs w:val="21"/>
                    </w:rPr>
                  </w:pPr>
                  <w:r>
                    <w:rPr>
                      <w:b/>
                      <w:bCs/>
                      <w:szCs w:val="21"/>
                    </w:rPr>
                    <w:t>排放量</w:t>
                  </w:r>
                </w:p>
              </w:tc>
              <w:tc>
                <w:tcPr>
                  <w:tcW w:w="2672" w:type="dxa"/>
                  <w:vAlign w:val="center"/>
                </w:tcPr>
                <w:p>
                  <w:pPr>
                    <w:jc w:val="center"/>
                    <w:rPr>
                      <w:b/>
                      <w:bCs/>
                      <w:szCs w:val="21"/>
                    </w:rPr>
                  </w:pPr>
                  <w:r>
                    <w:rPr>
                      <w:b/>
                      <w:bCs/>
                      <w:szCs w:val="21"/>
                    </w:rPr>
                    <w:t>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32" w:hRule="atLeast"/>
              </w:trPr>
              <w:tc>
                <w:tcPr>
                  <w:tcW w:w="869" w:type="dxa"/>
                  <w:vAlign w:val="center"/>
                </w:tcPr>
                <w:p>
                  <w:pPr>
                    <w:jc w:val="center"/>
                    <w:rPr>
                      <w:szCs w:val="21"/>
                    </w:rPr>
                  </w:pPr>
                  <w:r>
                    <w:rPr>
                      <w:rFonts w:hint="eastAsia"/>
                      <w:szCs w:val="21"/>
                    </w:rPr>
                    <w:t>脱硝设施</w:t>
                  </w:r>
                  <w:r>
                    <w:rPr>
                      <w:szCs w:val="21"/>
                    </w:rPr>
                    <w:t>故障</w:t>
                  </w:r>
                </w:p>
              </w:tc>
              <w:tc>
                <w:tcPr>
                  <w:tcW w:w="992" w:type="dxa"/>
                  <w:vAlign w:val="center"/>
                </w:tcPr>
                <w:p>
                  <w:pPr>
                    <w:jc w:val="center"/>
                    <w:rPr>
                      <w:szCs w:val="21"/>
                    </w:rPr>
                  </w:pPr>
                  <w:r>
                    <w:rPr>
                      <w:szCs w:val="21"/>
                    </w:rPr>
                    <w:t>半年</w:t>
                  </w:r>
                  <w:r>
                    <w:rPr>
                      <w:rFonts w:hint="eastAsia"/>
                      <w:szCs w:val="21"/>
                    </w:rPr>
                    <w:t>/次</w:t>
                  </w:r>
                </w:p>
              </w:tc>
              <w:tc>
                <w:tcPr>
                  <w:tcW w:w="1276" w:type="dxa"/>
                  <w:vAlign w:val="center"/>
                </w:tcPr>
                <w:p>
                  <w:pPr>
                    <w:jc w:val="center"/>
                    <w:rPr>
                      <w:szCs w:val="21"/>
                    </w:rPr>
                  </w:pPr>
                  <w:r>
                    <w:rPr>
                      <w:rFonts w:hint="eastAsia"/>
                      <w:szCs w:val="21"/>
                    </w:rPr>
                    <w:t>800mg/m</w:t>
                  </w:r>
                  <w:r>
                    <w:rPr>
                      <w:rFonts w:hint="eastAsia"/>
                      <w:szCs w:val="21"/>
                      <w:vertAlign w:val="superscript"/>
                    </w:rPr>
                    <w:t>3</w:t>
                  </w:r>
                </w:p>
              </w:tc>
              <w:tc>
                <w:tcPr>
                  <w:tcW w:w="1417" w:type="dxa"/>
                  <w:vAlign w:val="center"/>
                </w:tcPr>
                <w:p>
                  <w:pPr>
                    <w:jc w:val="center"/>
                    <w:rPr>
                      <w:szCs w:val="21"/>
                    </w:rPr>
                  </w:pPr>
                  <w:r>
                    <w:rPr>
                      <w:rFonts w:hint="eastAsia"/>
                      <w:szCs w:val="21"/>
                    </w:rPr>
                    <w:t>5min</w:t>
                  </w:r>
                </w:p>
              </w:tc>
              <w:tc>
                <w:tcPr>
                  <w:tcW w:w="993" w:type="dxa"/>
                  <w:vAlign w:val="center"/>
                </w:tcPr>
                <w:p>
                  <w:pPr>
                    <w:jc w:val="center"/>
                    <w:rPr>
                      <w:szCs w:val="21"/>
                    </w:rPr>
                  </w:pPr>
                  <w:r>
                    <w:rPr>
                      <w:rFonts w:hint="eastAsia"/>
                      <w:szCs w:val="21"/>
                    </w:rPr>
                    <w:t>8.3g/次</w:t>
                  </w:r>
                </w:p>
              </w:tc>
              <w:tc>
                <w:tcPr>
                  <w:tcW w:w="2672" w:type="dxa"/>
                  <w:vAlign w:val="center"/>
                </w:tcPr>
                <w:p>
                  <w:pPr>
                    <w:jc w:val="center"/>
                    <w:rPr>
                      <w:szCs w:val="21"/>
                    </w:rPr>
                  </w:pPr>
                  <w:r>
                    <w:rPr>
                      <w:szCs w:val="21"/>
                    </w:rPr>
                    <w:t>发生故障时立即停止生产</w:t>
                  </w:r>
                  <w:r>
                    <w:rPr>
                      <w:rFonts w:hint="eastAsia"/>
                      <w:szCs w:val="21"/>
                    </w:rPr>
                    <w:t>，每次生产前后由专人检查脱硝设施是否正常运行，避免故障发生</w:t>
                  </w:r>
                </w:p>
              </w:tc>
            </w:tr>
          </w:tbl>
          <w:p>
            <w:pPr>
              <w:spacing w:line="360" w:lineRule="auto"/>
              <w:ind w:firstLine="482" w:firstLineChars="200"/>
              <w:rPr>
                <w:b/>
                <w:bCs/>
                <w:sz w:val="24"/>
              </w:rPr>
            </w:pPr>
            <w:r>
              <w:rPr>
                <w:rFonts w:hint="eastAsia"/>
                <w:b/>
                <w:bCs/>
                <w:sz w:val="24"/>
              </w:rPr>
              <w:t>4</w:t>
            </w:r>
            <w:r>
              <w:rPr>
                <w:b/>
                <w:bCs/>
                <w:sz w:val="24"/>
              </w:rPr>
              <w:t>、SCR工艺</w:t>
            </w:r>
          </w:p>
          <w:p>
            <w:pPr>
              <w:spacing w:line="360" w:lineRule="auto"/>
              <w:ind w:firstLine="480" w:firstLineChars="200"/>
              <w:rPr>
                <w:sz w:val="24"/>
              </w:rPr>
            </w:pPr>
            <w:r>
              <w:rPr>
                <w:rFonts w:hint="eastAsia"/>
                <w:sz w:val="24"/>
              </w:rPr>
              <w:t>（1）工艺简介及相关参数</w:t>
            </w:r>
          </w:p>
          <w:p>
            <w:pPr>
              <w:spacing w:line="360" w:lineRule="auto"/>
              <w:ind w:firstLine="480" w:firstLineChars="200"/>
              <w:rPr>
                <w:sz w:val="24"/>
              </w:rPr>
            </w:pPr>
            <w:r>
              <w:rPr>
                <w:sz w:val="24"/>
              </w:rPr>
              <w:t>SCR法全称选择性催化还原法(Selective Catalytic Reducation)，是用尿素溶液作为还原剂，在一定温度下通过催化剂的作用，还原废气中的NO</w:t>
            </w:r>
            <w:r>
              <w:rPr>
                <w:sz w:val="24"/>
                <w:vertAlign w:val="subscript"/>
              </w:rPr>
              <w:t>x</w:t>
            </w:r>
            <w:r>
              <w:rPr>
                <w:sz w:val="24"/>
              </w:rPr>
              <w:t>(NO、NO</w:t>
            </w:r>
            <w:r>
              <w:rPr>
                <w:sz w:val="24"/>
                <w:vertAlign w:val="subscript"/>
              </w:rPr>
              <w:t>2</w:t>
            </w:r>
            <w:r>
              <w:rPr>
                <w:sz w:val="24"/>
              </w:rPr>
              <w:t>)，将NO</w:t>
            </w:r>
            <w:r>
              <w:rPr>
                <w:sz w:val="24"/>
                <w:vertAlign w:val="subscript"/>
              </w:rPr>
              <w:t>x</w:t>
            </w:r>
            <w:r>
              <w:rPr>
                <w:sz w:val="24"/>
              </w:rPr>
              <w:t>转化非污染元素分子氮(N</w:t>
            </w:r>
            <w:r>
              <w:rPr>
                <w:sz w:val="24"/>
                <w:vertAlign w:val="subscript"/>
              </w:rPr>
              <w:t>2</w:t>
            </w:r>
            <w:r>
              <w:rPr>
                <w:sz w:val="24"/>
              </w:rPr>
              <w:t>)。</w:t>
            </w:r>
          </w:p>
          <w:p>
            <w:pPr>
              <w:spacing w:line="360" w:lineRule="auto"/>
              <w:ind w:firstLine="480" w:firstLineChars="200"/>
              <w:rPr>
                <w:sz w:val="24"/>
              </w:rPr>
            </w:pPr>
            <w:r>
              <w:rPr>
                <w:sz w:val="24"/>
              </w:rPr>
              <w:t>本项目烟气采用SCR脱硝方案，即采用浓度为32.5%的尿素溶液作为还原剂，在催化剂（五氧化二钒为活性组分，二氧化钛作为骨架）作用下，将烟气中氮氧化物转换为氮气和水，脱硝过程中无废液产生，主要反应如下：</w:t>
            </w:r>
          </w:p>
          <w:p>
            <w:pPr>
              <w:spacing w:line="360" w:lineRule="auto"/>
              <w:ind w:firstLine="480" w:firstLineChars="200"/>
              <w:rPr>
                <w:sz w:val="24"/>
              </w:rPr>
            </w:pPr>
            <w:r>
              <w:rPr>
                <w:sz w:val="24"/>
              </w:rPr>
              <w:t>CO(NH</w:t>
            </w:r>
            <w:r>
              <w:rPr>
                <w:sz w:val="24"/>
                <w:vertAlign w:val="subscript"/>
              </w:rPr>
              <w:t>2</w:t>
            </w:r>
            <w:r>
              <w:rPr>
                <w:sz w:val="24"/>
              </w:rPr>
              <w:t>)</w:t>
            </w:r>
            <w:r>
              <w:rPr>
                <w:sz w:val="24"/>
                <w:vertAlign w:val="subscript"/>
              </w:rPr>
              <w:t>2</w:t>
            </w:r>
            <w:r>
              <w:rPr>
                <w:sz w:val="24"/>
              </w:rPr>
              <w:t>+H</w:t>
            </w:r>
            <w:r>
              <w:rPr>
                <w:sz w:val="24"/>
                <w:vertAlign w:val="subscript"/>
              </w:rPr>
              <w:t>2</w:t>
            </w:r>
            <w:r>
              <w:rPr>
                <w:sz w:val="24"/>
              </w:rPr>
              <w:t>O→CO</w:t>
            </w:r>
            <w:r>
              <w:rPr>
                <w:sz w:val="24"/>
                <w:vertAlign w:val="subscript"/>
              </w:rPr>
              <w:t>2</w:t>
            </w:r>
            <w:r>
              <w:rPr>
                <w:sz w:val="24"/>
              </w:rPr>
              <w:t>+2NH</w:t>
            </w:r>
            <w:r>
              <w:rPr>
                <w:sz w:val="24"/>
                <w:vertAlign w:val="subscript"/>
              </w:rPr>
              <w:t>3</w:t>
            </w:r>
            <w:r>
              <w:rPr>
                <w:sz w:val="24"/>
              </w:rPr>
              <w:t>（尿素受热分解）</w:t>
            </w:r>
          </w:p>
          <w:p>
            <w:pPr>
              <w:spacing w:line="360" w:lineRule="auto"/>
              <w:ind w:firstLine="480" w:firstLineChars="200"/>
              <w:rPr>
                <w:sz w:val="24"/>
              </w:rPr>
            </w:pPr>
            <w:r>
              <w:rPr>
                <w:sz w:val="24"/>
              </w:rPr>
              <w:t>4NO+4NH</w:t>
            </w:r>
            <w:r>
              <w:rPr>
                <w:sz w:val="24"/>
                <w:vertAlign w:val="subscript"/>
              </w:rPr>
              <w:t>3</w:t>
            </w:r>
            <w:r>
              <w:rPr>
                <w:sz w:val="24"/>
              </w:rPr>
              <w:t>+O</w:t>
            </w:r>
            <w:r>
              <w:rPr>
                <w:sz w:val="24"/>
                <w:vertAlign w:val="subscript"/>
              </w:rPr>
              <w:t>2</w:t>
            </w:r>
            <w:r>
              <w:rPr>
                <w:sz w:val="24"/>
              </w:rPr>
              <w:t>→4N</w:t>
            </w:r>
            <w:r>
              <w:rPr>
                <w:sz w:val="24"/>
                <w:vertAlign w:val="subscript"/>
              </w:rPr>
              <w:t>2</w:t>
            </w:r>
            <w:r>
              <w:rPr>
                <w:sz w:val="24"/>
              </w:rPr>
              <w:t>+6H</w:t>
            </w:r>
            <w:r>
              <w:rPr>
                <w:sz w:val="24"/>
                <w:vertAlign w:val="subscript"/>
              </w:rPr>
              <w:t>2</w:t>
            </w:r>
            <w:r>
              <w:rPr>
                <w:sz w:val="24"/>
              </w:rPr>
              <w:t>O</w:t>
            </w:r>
          </w:p>
          <w:p>
            <w:pPr>
              <w:spacing w:line="360" w:lineRule="auto"/>
              <w:ind w:firstLine="480" w:firstLineChars="200"/>
              <w:rPr>
                <w:sz w:val="24"/>
              </w:rPr>
            </w:pPr>
            <w:r>
              <w:rPr>
                <w:sz w:val="24"/>
              </w:rPr>
              <w:t>6NO</w:t>
            </w:r>
            <w:r>
              <w:rPr>
                <w:sz w:val="24"/>
                <w:vertAlign w:val="subscript"/>
              </w:rPr>
              <w:t>2</w:t>
            </w:r>
            <w:r>
              <w:rPr>
                <w:sz w:val="24"/>
              </w:rPr>
              <w:t>+8NH</w:t>
            </w:r>
            <w:r>
              <w:rPr>
                <w:sz w:val="24"/>
                <w:vertAlign w:val="subscript"/>
              </w:rPr>
              <w:t>3</w:t>
            </w:r>
            <w:r>
              <w:rPr>
                <w:sz w:val="24"/>
              </w:rPr>
              <w:t>→7N</w:t>
            </w:r>
            <w:r>
              <w:rPr>
                <w:sz w:val="24"/>
                <w:vertAlign w:val="subscript"/>
              </w:rPr>
              <w:t>2</w:t>
            </w:r>
            <w:r>
              <w:rPr>
                <w:sz w:val="24"/>
              </w:rPr>
              <w:t>+12H</w:t>
            </w:r>
            <w:r>
              <w:rPr>
                <w:sz w:val="24"/>
                <w:vertAlign w:val="subscript"/>
              </w:rPr>
              <w:t>2</w:t>
            </w:r>
            <w:r>
              <w:rPr>
                <w:sz w:val="24"/>
              </w:rPr>
              <w:t>O</w:t>
            </w:r>
          </w:p>
          <w:p>
            <w:pPr>
              <w:spacing w:line="360" w:lineRule="auto"/>
              <w:ind w:firstLine="480" w:firstLineChars="200"/>
              <w:rPr>
                <w:sz w:val="24"/>
              </w:rPr>
            </w:pPr>
            <w:r>
              <w:rPr>
                <w:sz w:val="24"/>
              </w:rPr>
              <w:t>SCR系统包括：SCR反应器及催化剂、尿素溶液储存供应系统、尿素溶液喷射系统、烟道系统及相关的测试控制系统。SCR工艺的核心装置是催化剂和反应器，有卧式和立式两种布置方式，本项目采用立式布置方式，安装位置采用热段/高灰的布置方式。</w:t>
            </w:r>
          </w:p>
          <w:p>
            <w:pPr>
              <w:spacing w:line="360" w:lineRule="auto"/>
              <w:ind w:firstLine="480" w:firstLineChars="200"/>
              <w:rPr>
                <w:sz w:val="24"/>
              </w:rPr>
            </w:pPr>
            <w:r>
              <w:rPr>
                <w:rFonts w:hint="eastAsia"/>
                <w:sz w:val="24"/>
              </w:rPr>
              <w:t>本项目还原剂采用本项目还原剂采用尿素，需先将尿素固体颗粒在容器中完全溶解，然后将溶液泵送到水解槽中，通过热交换器将溶液加热至反应温度后与水反应生成氨气。</w:t>
            </w:r>
          </w:p>
          <w:p>
            <w:pPr>
              <w:spacing w:line="360" w:lineRule="auto"/>
              <w:ind w:firstLine="480" w:firstLineChars="200"/>
              <w:rPr>
                <w:sz w:val="24"/>
              </w:rPr>
            </w:pPr>
            <w:r>
              <w:rPr>
                <w:rFonts w:hint="eastAsia"/>
                <w:sz w:val="24"/>
              </w:rPr>
              <w:t>本项目工艺设计顺序为：升温→SCR脱硝→（余热回收）→排空。燃气炉排烟温度为80～100℃，而脱硝设备实现脱硝需要的反应温度为300～420℃，燃气炉烟气排出经烟道进入烟气加热箱，烟气加热箱内通过天然气加热将烟气温度升至220℃以上，达到SCR烟气脱硝的适宜温度。升温后的烟气在管道中与来自还原剂喷枪的尿素溶液进行充分混合流入SCR反应器，在SCR反应器的进口加设烟气导流挡板，使进入SCR反应器内的烟气气流分布均匀，之后混合烟气进入蜂窝式催化剂模块，在模块中填充的二氧化钛，三氧化钨，五氧化二钒/三氧化钼等催化剂的催化下，NO、NO</w:t>
            </w:r>
            <w:r>
              <w:rPr>
                <w:rFonts w:hint="eastAsia"/>
                <w:sz w:val="24"/>
                <w:vertAlign w:val="subscript"/>
              </w:rPr>
              <w:t>2</w:t>
            </w:r>
            <w:r>
              <w:rPr>
                <w:rFonts w:hint="eastAsia"/>
                <w:sz w:val="24"/>
              </w:rPr>
              <w:t>与尿素分解产生的NH</w:t>
            </w:r>
            <w:r>
              <w:rPr>
                <w:rFonts w:hint="eastAsia"/>
                <w:sz w:val="24"/>
                <w:vertAlign w:val="subscript"/>
              </w:rPr>
              <w:t>3</w:t>
            </w:r>
            <w:r>
              <w:rPr>
                <w:rFonts w:hint="eastAsia"/>
                <w:sz w:val="24"/>
              </w:rPr>
              <w:t>发生氧化还原反应，形成无害的N</w:t>
            </w:r>
            <w:r>
              <w:rPr>
                <w:rFonts w:hint="eastAsia"/>
                <w:sz w:val="24"/>
                <w:vertAlign w:val="subscript"/>
              </w:rPr>
              <w:t>2</w:t>
            </w:r>
            <w:r>
              <w:rPr>
                <w:rFonts w:hint="eastAsia"/>
                <w:sz w:val="24"/>
              </w:rPr>
              <w:t>和H</w:t>
            </w:r>
            <w:r>
              <w:rPr>
                <w:rFonts w:hint="eastAsia"/>
                <w:sz w:val="24"/>
                <w:vertAlign w:val="subscript"/>
              </w:rPr>
              <w:t>2</w:t>
            </w:r>
            <w:r>
              <w:rPr>
                <w:rFonts w:hint="eastAsia"/>
                <w:sz w:val="24"/>
              </w:rPr>
              <w:t>O，实现烟气的达标排。还原剂喷枪位置及喷嘴形式是根据烟道的布置情况进行设计，从而达到保证脱硝效率和经济性，防治造成局部溶液过量服饰设备和空气的二次污染。</w:t>
            </w:r>
          </w:p>
          <w:p>
            <w:pPr>
              <w:spacing w:line="360" w:lineRule="auto"/>
              <w:jc w:val="center"/>
              <w:rPr>
                <w:b/>
                <w:bCs/>
                <w:szCs w:val="21"/>
              </w:rPr>
            </w:pPr>
            <w:r>
              <w:rPr>
                <w:b/>
                <w:bCs/>
                <w:szCs w:val="21"/>
              </w:rPr>
              <w:t>表2</w:t>
            </w:r>
            <w:r>
              <w:rPr>
                <w:rFonts w:hint="eastAsia"/>
                <w:b/>
                <w:bCs/>
                <w:szCs w:val="21"/>
              </w:rPr>
              <w:t>9</w:t>
            </w:r>
            <w:r>
              <w:rPr>
                <w:b/>
                <w:bCs/>
                <w:szCs w:val="21"/>
              </w:rPr>
              <w:t xml:space="preserve">  SCR脱硝塔技术参数</w:t>
            </w:r>
          </w:p>
          <w:tbl>
            <w:tblPr>
              <w:tblStyle w:val="1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996"/>
              <w:gridCol w:w="2549"/>
              <w:gridCol w:w="26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5545" w:type="dxa"/>
                  <w:gridSpan w:val="2"/>
                  <w:vAlign w:val="center"/>
                </w:tcPr>
                <w:p>
                  <w:pPr>
                    <w:pStyle w:val="11"/>
                    <w:tabs>
                      <w:tab w:val="left" w:pos="7380"/>
                    </w:tabs>
                    <w:spacing w:line="240" w:lineRule="auto"/>
                    <w:ind w:firstLine="0" w:firstLineChars="0"/>
                    <w:jc w:val="center"/>
                    <w:rPr>
                      <w:color w:val="auto"/>
                      <w:sz w:val="21"/>
                      <w:szCs w:val="21"/>
                    </w:rPr>
                  </w:pPr>
                  <w:r>
                    <w:rPr>
                      <w:color w:val="auto"/>
                      <w:sz w:val="21"/>
                      <w:szCs w:val="21"/>
                    </w:rPr>
                    <w:t>脱硝剂类型及浓度</w:t>
                  </w:r>
                </w:p>
              </w:tc>
              <w:tc>
                <w:tcPr>
                  <w:tcW w:w="265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尿素溶液（32.5%）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2996"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温度区间</w:t>
                  </w:r>
                </w:p>
              </w:tc>
              <w:tc>
                <w:tcPr>
                  <w:tcW w:w="254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SCR</w:t>
                  </w:r>
                </w:p>
              </w:tc>
              <w:tc>
                <w:tcPr>
                  <w:tcW w:w="2659" w:type="dxa"/>
                  <w:vAlign w:val="center"/>
                </w:tcPr>
                <w:p>
                  <w:pPr>
                    <w:pStyle w:val="11"/>
                    <w:tabs>
                      <w:tab w:val="left" w:pos="7380"/>
                    </w:tabs>
                    <w:spacing w:line="240" w:lineRule="auto"/>
                    <w:ind w:firstLine="0" w:firstLineChars="0"/>
                    <w:jc w:val="center"/>
                    <w:rPr>
                      <w:color w:val="auto"/>
                      <w:sz w:val="21"/>
                      <w:szCs w:val="21"/>
                    </w:rPr>
                  </w:pPr>
                  <w:r>
                    <w:rPr>
                      <w:rFonts w:hint="eastAsia"/>
                      <w:color w:val="auto"/>
                      <w:sz w:val="21"/>
                      <w:szCs w:val="21"/>
                    </w:rPr>
                    <w:t>2</w:t>
                  </w:r>
                  <w:r>
                    <w:rPr>
                      <w:color w:val="auto"/>
                      <w:sz w:val="21"/>
                      <w:szCs w:val="21"/>
                    </w:rPr>
                    <w:t>20-</w:t>
                  </w:r>
                  <w:r>
                    <w:rPr>
                      <w:rFonts w:hint="eastAsia"/>
                      <w:color w:val="auto"/>
                      <w:sz w:val="21"/>
                      <w:szCs w:val="21"/>
                    </w:rPr>
                    <w:t>380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5545" w:type="dxa"/>
                  <w:gridSpan w:val="2"/>
                  <w:vAlign w:val="center"/>
                </w:tcPr>
                <w:p>
                  <w:pPr>
                    <w:pStyle w:val="11"/>
                    <w:tabs>
                      <w:tab w:val="left" w:pos="7380"/>
                    </w:tabs>
                    <w:spacing w:line="240" w:lineRule="auto"/>
                    <w:ind w:firstLine="0" w:firstLineChars="0"/>
                    <w:jc w:val="center"/>
                    <w:rPr>
                      <w:color w:val="auto"/>
                      <w:sz w:val="21"/>
                      <w:szCs w:val="21"/>
                    </w:rPr>
                  </w:pPr>
                  <w:r>
                    <w:rPr>
                      <w:color w:val="auto"/>
                      <w:sz w:val="21"/>
                      <w:szCs w:val="21"/>
                    </w:rPr>
                    <w:t>脱硝剂小时用量L/h</w:t>
                  </w:r>
                </w:p>
              </w:tc>
              <w:tc>
                <w:tcPr>
                  <w:tcW w:w="265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5545" w:type="dxa"/>
                  <w:gridSpan w:val="2"/>
                  <w:vAlign w:val="center"/>
                </w:tcPr>
                <w:p>
                  <w:pPr>
                    <w:pStyle w:val="11"/>
                    <w:tabs>
                      <w:tab w:val="left" w:pos="7380"/>
                    </w:tabs>
                    <w:spacing w:line="240" w:lineRule="auto"/>
                    <w:ind w:firstLine="0" w:firstLineChars="0"/>
                    <w:jc w:val="center"/>
                    <w:rPr>
                      <w:color w:val="auto"/>
                      <w:sz w:val="21"/>
                      <w:szCs w:val="21"/>
                    </w:rPr>
                  </w:pPr>
                  <w:r>
                    <w:rPr>
                      <w:color w:val="auto"/>
                      <w:sz w:val="21"/>
                      <w:szCs w:val="21"/>
                    </w:rPr>
                    <w:t>喷枪数量</w:t>
                  </w:r>
                </w:p>
              </w:tc>
              <w:tc>
                <w:tcPr>
                  <w:tcW w:w="265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5545" w:type="dxa"/>
                  <w:gridSpan w:val="2"/>
                  <w:vAlign w:val="center"/>
                </w:tcPr>
                <w:p>
                  <w:pPr>
                    <w:pStyle w:val="11"/>
                    <w:tabs>
                      <w:tab w:val="left" w:pos="7380"/>
                    </w:tabs>
                    <w:spacing w:line="240" w:lineRule="auto"/>
                    <w:ind w:firstLine="0" w:firstLineChars="0"/>
                    <w:jc w:val="center"/>
                    <w:rPr>
                      <w:color w:val="auto"/>
                      <w:sz w:val="21"/>
                      <w:szCs w:val="21"/>
                    </w:rPr>
                  </w:pPr>
                  <w:r>
                    <w:rPr>
                      <w:color w:val="auto"/>
                      <w:sz w:val="21"/>
                      <w:szCs w:val="21"/>
                    </w:rPr>
                    <w:t>氨氮摩尔比</w:t>
                  </w:r>
                </w:p>
              </w:tc>
              <w:tc>
                <w:tcPr>
                  <w:tcW w:w="2659" w:type="dxa"/>
                  <w:vAlign w:val="center"/>
                </w:tcPr>
                <w:p>
                  <w:pPr>
                    <w:pStyle w:val="11"/>
                    <w:tabs>
                      <w:tab w:val="left" w:pos="7380"/>
                    </w:tabs>
                    <w:spacing w:line="240" w:lineRule="auto"/>
                    <w:ind w:firstLine="0" w:firstLineChars="0"/>
                    <w:jc w:val="center"/>
                    <w:rPr>
                      <w:color w:val="auto"/>
                      <w:sz w:val="21"/>
                      <w:szCs w:val="21"/>
                    </w:rPr>
                  </w:pPr>
                  <w:r>
                    <w:rPr>
                      <w:rFonts w:hint="eastAsia"/>
                      <w:color w:val="auto"/>
                      <w:sz w:val="21"/>
                      <w:szCs w:val="21"/>
                    </w:rPr>
                    <w:t>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5545" w:type="dxa"/>
                  <w:gridSpan w:val="2"/>
                  <w:vAlign w:val="center"/>
                </w:tcPr>
                <w:p>
                  <w:pPr>
                    <w:pStyle w:val="11"/>
                    <w:tabs>
                      <w:tab w:val="left" w:pos="7380"/>
                    </w:tabs>
                    <w:spacing w:line="240" w:lineRule="auto"/>
                    <w:ind w:firstLine="0" w:firstLineChars="0"/>
                    <w:jc w:val="center"/>
                    <w:rPr>
                      <w:color w:val="auto"/>
                      <w:sz w:val="21"/>
                      <w:szCs w:val="21"/>
                    </w:rPr>
                  </w:pPr>
                  <w:r>
                    <w:rPr>
                      <w:color w:val="auto"/>
                      <w:sz w:val="21"/>
                      <w:szCs w:val="21"/>
                    </w:rPr>
                    <w:t>还原剂停留时间s</w:t>
                  </w:r>
                </w:p>
              </w:tc>
              <w:tc>
                <w:tcPr>
                  <w:tcW w:w="265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2996" w:type="dxa"/>
                  <w:vMerge w:val="restart"/>
                  <w:vAlign w:val="center"/>
                </w:tcPr>
                <w:p>
                  <w:pPr>
                    <w:pStyle w:val="11"/>
                    <w:tabs>
                      <w:tab w:val="left" w:pos="7380"/>
                    </w:tabs>
                    <w:spacing w:line="240" w:lineRule="auto"/>
                    <w:ind w:firstLine="0" w:firstLineChars="0"/>
                    <w:jc w:val="center"/>
                    <w:rPr>
                      <w:color w:val="auto"/>
                      <w:sz w:val="21"/>
                      <w:szCs w:val="21"/>
                    </w:rPr>
                  </w:pPr>
                  <w:r>
                    <w:rPr>
                      <w:color w:val="auto"/>
                      <w:sz w:val="21"/>
                      <w:szCs w:val="21"/>
                    </w:rPr>
                    <w:t>催化剂</w:t>
                  </w:r>
                </w:p>
              </w:tc>
              <w:tc>
                <w:tcPr>
                  <w:tcW w:w="254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种类</w:t>
                  </w:r>
                </w:p>
              </w:tc>
              <w:tc>
                <w:tcPr>
                  <w:tcW w:w="265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钒钛，蜂窝式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2996" w:type="dxa"/>
                  <w:vMerge w:val="continue"/>
                  <w:vAlign w:val="center"/>
                </w:tcPr>
                <w:p>
                  <w:pPr>
                    <w:pStyle w:val="11"/>
                    <w:tabs>
                      <w:tab w:val="left" w:pos="7380"/>
                    </w:tabs>
                    <w:spacing w:line="240" w:lineRule="auto"/>
                    <w:ind w:firstLine="0" w:firstLineChars="0"/>
                    <w:jc w:val="center"/>
                    <w:rPr>
                      <w:color w:val="auto"/>
                      <w:sz w:val="21"/>
                      <w:szCs w:val="21"/>
                    </w:rPr>
                  </w:pPr>
                </w:p>
              </w:tc>
              <w:tc>
                <w:tcPr>
                  <w:tcW w:w="254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层数</w:t>
                  </w:r>
                </w:p>
              </w:tc>
              <w:tc>
                <w:tcPr>
                  <w:tcW w:w="2659" w:type="dxa"/>
                  <w:vAlign w:val="center"/>
                </w:tcPr>
                <w:p>
                  <w:pPr>
                    <w:pStyle w:val="11"/>
                    <w:tabs>
                      <w:tab w:val="left" w:pos="7380"/>
                    </w:tabs>
                    <w:spacing w:line="240" w:lineRule="auto"/>
                    <w:ind w:firstLine="0" w:firstLineChars="0"/>
                    <w:jc w:val="center"/>
                    <w:rPr>
                      <w:color w:val="auto"/>
                      <w:sz w:val="21"/>
                      <w:szCs w:val="21"/>
                    </w:rPr>
                  </w:pPr>
                  <w:r>
                    <w:rPr>
                      <w:rFonts w:hint="eastAsia"/>
                      <w:color w:val="auto"/>
                      <w:sz w:val="21"/>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2996" w:type="dxa"/>
                  <w:vMerge w:val="continue"/>
                  <w:vAlign w:val="center"/>
                </w:tcPr>
                <w:p>
                  <w:pPr>
                    <w:pStyle w:val="11"/>
                    <w:tabs>
                      <w:tab w:val="left" w:pos="7380"/>
                    </w:tabs>
                    <w:spacing w:line="240" w:lineRule="auto"/>
                    <w:ind w:firstLine="0" w:firstLineChars="0"/>
                    <w:jc w:val="center"/>
                    <w:rPr>
                      <w:color w:val="auto"/>
                      <w:sz w:val="21"/>
                      <w:szCs w:val="21"/>
                    </w:rPr>
                  </w:pPr>
                </w:p>
              </w:tc>
              <w:tc>
                <w:tcPr>
                  <w:tcW w:w="254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烟气速度m/s</w:t>
                  </w:r>
                </w:p>
              </w:tc>
              <w:tc>
                <w:tcPr>
                  <w:tcW w:w="265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exact"/>
                <w:jc w:val="center"/>
              </w:trPr>
              <w:tc>
                <w:tcPr>
                  <w:tcW w:w="2996" w:type="dxa"/>
                  <w:vMerge w:val="continue"/>
                  <w:vAlign w:val="center"/>
                </w:tcPr>
                <w:p>
                  <w:pPr>
                    <w:pStyle w:val="11"/>
                    <w:tabs>
                      <w:tab w:val="left" w:pos="7380"/>
                    </w:tabs>
                    <w:spacing w:line="240" w:lineRule="auto"/>
                    <w:ind w:firstLine="0" w:firstLineChars="0"/>
                    <w:jc w:val="center"/>
                    <w:rPr>
                      <w:color w:val="auto"/>
                      <w:sz w:val="21"/>
                      <w:szCs w:val="21"/>
                    </w:rPr>
                  </w:pPr>
                </w:p>
              </w:tc>
              <w:tc>
                <w:tcPr>
                  <w:tcW w:w="254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催化剂节距mm</w:t>
                  </w:r>
                </w:p>
              </w:tc>
              <w:tc>
                <w:tcPr>
                  <w:tcW w:w="2659" w:type="dxa"/>
                  <w:vAlign w:val="center"/>
                </w:tcPr>
                <w:p>
                  <w:pPr>
                    <w:pStyle w:val="11"/>
                    <w:tabs>
                      <w:tab w:val="left" w:pos="7380"/>
                    </w:tabs>
                    <w:spacing w:line="240" w:lineRule="auto"/>
                    <w:ind w:firstLine="0" w:firstLineChars="0"/>
                    <w:jc w:val="center"/>
                    <w:rPr>
                      <w:color w:val="auto"/>
                      <w:sz w:val="21"/>
                      <w:szCs w:val="21"/>
                    </w:rPr>
                  </w:pPr>
                  <w:r>
                    <w:rPr>
                      <w:color w:val="auto"/>
                      <w:sz w:val="21"/>
                      <w:szCs w:val="21"/>
                    </w:rPr>
                    <w:t>5.0</w:t>
                  </w:r>
                </w:p>
              </w:tc>
            </w:tr>
          </w:tbl>
          <w:p>
            <w:pPr>
              <w:spacing w:line="360" w:lineRule="auto"/>
              <w:ind w:firstLine="480" w:firstLineChars="200"/>
              <w:rPr>
                <w:sz w:val="24"/>
              </w:rPr>
            </w:pPr>
            <w:r>
              <w:rPr>
                <w:rFonts w:hint="eastAsia"/>
                <w:sz w:val="24"/>
              </w:rPr>
              <w:t>（2）可行性分析</w:t>
            </w:r>
          </w:p>
          <w:p>
            <w:pPr>
              <w:spacing w:line="360" w:lineRule="auto"/>
              <w:ind w:firstLine="480" w:firstLineChars="200"/>
              <w:rPr>
                <w:sz w:val="24"/>
              </w:rPr>
            </w:pPr>
            <w:r>
              <w:rPr>
                <w:rFonts w:hint="eastAsia"/>
                <w:sz w:val="24"/>
              </w:rPr>
              <w:t>项目参考《定襄县永巨锻造有限公司年产2000吨法兰盘及锻件燃煤加热炉改天然气加热炉环境保护项目竣工环境验收监测报告表》、《定襄县腾顺锻造厂年产2000吨法兰盘生产线煤改气加热技术改造项目竣工环境保护验收监测报告表》中天然气加热炉监测数据。</w:t>
            </w:r>
          </w:p>
          <w:p>
            <w:pPr>
              <w:spacing w:line="360" w:lineRule="auto"/>
              <w:ind w:firstLine="480" w:firstLineChars="200"/>
              <w:rPr>
                <w:sz w:val="24"/>
              </w:rPr>
            </w:pPr>
            <w:r>
              <w:rPr>
                <w:rFonts w:hint="eastAsia"/>
                <w:sz w:val="24"/>
              </w:rPr>
              <w:t>定襄县永巨锻造有限公司1#天然气加热炉燃烧废气经1套SCR脱硝设备处理后由1根15m高排气筒排放。由监测报告可知，脱硝效率为84～85%。</w:t>
            </w:r>
          </w:p>
          <w:p>
            <w:pPr>
              <w:spacing w:line="360" w:lineRule="auto"/>
              <w:ind w:firstLine="480" w:firstLineChars="200"/>
              <w:rPr>
                <w:b/>
                <w:bCs/>
                <w:sz w:val="24"/>
              </w:rPr>
            </w:pPr>
            <w:r>
              <w:rPr>
                <w:rFonts w:hint="eastAsia"/>
                <w:sz w:val="24"/>
              </w:rPr>
              <w:t>定襄县腾顺锻造厂1#天然气加热炉燃烧废气经1套SCR脱硝设备后由1根15m高排气筒排放。由监测报告可知，脱硝效率为83%。</w:t>
            </w:r>
          </w:p>
          <w:p>
            <w:pPr>
              <w:spacing w:line="360" w:lineRule="auto"/>
              <w:ind w:firstLine="480" w:firstLineChars="200"/>
              <w:rPr>
                <w:sz w:val="24"/>
              </w:rPr>
            </w:pPr>
            <w:r>
              <w:rPr>
                <w:rFonts w:hint="eastAsia"/>
                <w:bCs/>
                <w:sz w:val="24"/>
              </w:rPr>
              <w:t>由验收检测报告得知，</w:t>
            </w:r>
            <w:r>
              <w:rPr>
                <w:rFonts w:hint="eastAsia"/>
                <w:sz w:val="24"/>
              </w:rPr>
              <w:t>定襄县永巨锻造有限公司、定襄县腾顺锻造厂</w:t>
            </w:r>
            <w:r>
              <w:rPr>
                <w:rFonts w:hint="eastAsia"/>
                <w:bCs/>
                <w:sz w:val="24"/>
              </w:rPr>
              <w:t>均采用SCR技术进行脱硝处理，且催化剂型式采用两层蜂窝式催化剂模块，催化剂采用二氧化钛，三氧化钨，五氧化二钒/三氧化钼等催化剂，脱硝效率均能达到80%以上，由此分析可知，本项目采用SCR技术进行脱硝处理后，氮氧化物可以实现稳定达标排放，</w:t>
            </w:r>
          </w:p>
        </w:tc>
      </w:tr>
    </w:tbl>
    <w:p>
      <w:pPr>
        <w:adjustRightInd w:val="0"/>
        <w:snapToGrid w:val="0"/>
        <w:spacing w:line="360" w:lineRule="auto"/>
        <w:rPr>
          <w:b/>
          <w:kern w:val="0"/>
          <w:sz w:val="28"/>
          <w:szCs w:val="28"/>
        </w:rPr>
        <w:sectPr>
          <w:pgSz w:w="11907" w:h="16840"/>
          <w:pgMar w:top="1701" w:right="1531" w:bottom="1701" w:left="1531" w:header="851" w:footer="1077" w:gutter="0"/>
          <w:cols w:space="720" w:num="1"/>
          <w:docGrid w:linePitch="312" w:charSpace="0"/>
        </w:sectPr>
      </w:pPr>
    </w:p>
    <w:tbl>
      <w:tblPr>
        <w:tblStyle w:val="13"/>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
        <w:gridCol w:w="13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0" w:hRule="atLeast"/>
        </w:trPr>
        <w:tc>
          <w:tcPr>
            <w:tcW w:w="533" w:type="dxa"/>
            <w:vAlign w:val="center"/>
          </w:tcPr>
          <w:p>
            <w:pPr>
              <w:adjustRightInd w:val="0"/>
              <w:snapToGrid w:val="0"/>
              <w:jc w:val="center"/>
              <w:rPr>
                <w:bCs/>
                <w:sz w:val="24"/>
              </w:rPr>
            </w:pPr>
            <w:r>
              <w:rPr>
                <w:bCs/>
                <w:sz w:val="24"/>
              </w:rPr>
              <w:t>运营期环境影响和保护措施</w:t>
            </w:r>
          </w:p>
        </w:tc>
        <w:tc>
          <w:tcPr>
            <w:tcW w:w="13101" w:type="dxa"/>
          </w:tcPr>
          <w:p>
            <w:pPr>
              <w:spacing w:line="360" w:lineRule="auto"/>
              <w:jc w:val="center"/>
              <w:rPr>
                <w:b/>
                <w:bCs/>
                <w:szCs w:val="21"/>
              </w:rPr>
            </w:pPr>
          </w:p>
          <w:p>
            <w:pPr>
              <w:spacing w:line="360" w:lineRule="auto"/>
              <w:jc w:val="center"/>
              <w:rPr>
                <w:b/>
                <w:bCs/>
                <w:szCs w:val="21"/>
              </w:rPr>
            </w:pPr>
            <w:r>
              <w:rPr>
                <w:b/>
                <w:bCs/>
                <w:szCs w:val="21"/>
              </w:rPr>
              <w:t>表</w:t>
            </w:r>
            <w:r>
              <w:rPr>
                <w:rFonts w:hint="eastAsia"/>
                <w:b/>
                <w:bCs/>
                <w:szCs w:val="21"/>
              </w:rPr>
              <w:t>30</w:t>
            </w:r>
            <w:r>
              <w:rPr>
                <w:b/>
                <w:bCs/>
                <w:szCs w:val="21"/>
              </w:rPr>
              <w:t xml:space="preserve">  </w:t>
            </w:r>
            <w:r>
              <w:rPr>
                <w:rFonts w:hint="eastAsia"/>
                <w:b/>
                <w:bCs/>
                <w:szCs w:val="21"/>
              </w:rPr>
              <w:t>定襄县永巨锻造有限公司脱硝设施</w:t>
            </w:r>
            <w:r>
              <w:rPr>
                <w:b/>
                <w:bCs/>
                <w:szCs w:val="21"/>
              </w:rPr>
              <w:t>进出口污染物监测结果</w:t>
            </w:r>
            <w:r>
              <w:rPr>
                <w:rFonts w:hint="eastAsia"/>
                <w:b/>
                <w:bCs/>
                <w:szCs w:val="21"/>
              </w:rPr>
              <w:t>（2020.12.11）</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84"/>
              <w:gridCol w:w="1638"/>
              <w:gridCol w:w="1046"/>
              <w:gridCol w:w="942"/>
              <w:gridCol w:w="942"/>
              <w:gridCol w:w="942"/>
              <w:gridCol w:w="942"/>
              <w:gridCol w:w="942"/>
              <w:gridCol w:w="942"/>
              <w:gridCol w:w="942"/>
              <w:gridCol w:w="726"/>
              <w:gridCol w:w="1157"/>
              <w:gridCol w:w="11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监测日期</w:t>
                  </w:r>
                </w:p>
              </w:tc>
              <w:tc>
                <w:tcPr>
                  <w:tcW w:w="10632" w:type="dxa"/>
                  <w:gridSpan w:val="11"/>
                  <w:vAlign w:val="center"/>
                </w:tcPr>
                <w:p>
                  <w:pPr>
                    <w:adjustRightInd w:val="0"/>
                    <w:snapToGrid w:val="0"/>
                    <w:jc w:val="center"/>
                    <w:rPr>
                      <w:bCs/>
                      <w:szCs w:val="21"/>
                    </w:rPr>
                  </w:pPr>
                  <w:r>
                    <w:rPr>
                      <w:rFonts w:hint="eastAsia"/>
                      <w:bCs/>
                      <w:szCs w:val="21"/>
                    </w:rPr>
                    <w:t>2020年12月11日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监测点位</w:t>
                  </w:r>
                </w:p>
              </w:tc>
              <w:tc>
                <w:tcPr>
                  <w:tcW w:w="3872" w:type="dxa"/>
                  <w:gridSpan w:val="4"/>
                  <w:vAlign w:val="center"/>
                </w:tcPr>
                <w:p>
                  <w:pPr>
                    <w:adjustRightInd w:val="0"/>
                    <w:snapToGrid w:val="0"/>
                    <w:jc w:val="center"/>
                    <w:rPr>
                      <w:bCs/>
                      <w:szCs w:val="21"/>
                    </w:rPr>
                  </w:pPr>
                  <w:r>
                    <w:rPr>
                      <w:bCs/>
                      <w:szCs w:val="21"/>
                    </w:rPr>
                    <w:t>脱硝塔进口</w:t>
                  </w:r>
                </w:p>
              </w:tc>
              <w:tc>
                <w:tcPr>
                  <w:tcW w:w="3768" w:type="dxa"/>
                  <w:gridSpan w:val="4"/>
                  <w:vAlign w:val="center"/>
                </w:tcPr>
                <w:p>
                  <w:pPr>
                    <w:adjustRightInd w:val="0"/>
                    <w:snapToGrid w:val="0"/>
                    <w:jc w:val="center"/>
                    <w:rPr>
                      <w:bCs/>
                      <w:szCs w:val="21"/>
                    </w:rPr>
                  </w:pPr>
                  <w:r>
                    <w:rPr>
                      <w:bCs/>
                      <w:szCs w:val="21"/>
                    </w:rPr>
                    <w:t>脱硝塔出口</w:t>
                  </w:r>
                </w:p>
              </w:tc>
              <w:tc>
                <w:tcPr>
                  <w:tcW w:w="726" w:type="dxa"/>
                  <w:vMerge w:val="restart"/>
                  <w:vAlign w:val="center"/>
                </w:tcPr>
                <w:p>
                  <w:pPr>
                    <w:adjustRightInd w:val="0"/>
                    <w:snapToGrid w:val="0"/>
                    <w:jc w:val="center"/>
                    <w:rPr>
                      <w:bCs/>
                      <w:szCs w:val="21"/>
                    </w:rPr>
                  </w:pPr>
                  <w:r>
                    <w:rPr>
                      <w:bCs/>
                      <w:szCs w:val="21"/>
                    </w:rPr>
                    <w:t>标准限值</w:t>
                  </w:r>
                </w:p>
              </w:tc>
              <w:tc>
                <w:tcPr>
                  <w:tcW w:w="1157" w:type="dxa"/>
                  <w:vMerge w:val="restart"/>
                  <w:vAlign w:val="center"/>
                </w:tcPr>
                <w:p>
                  <w:pPr>
                    <w:adjustRightInd w:val="0"/>
                    <w:snapToGrid w:val="0"/>
                    <w:jc w:val="center"/>
                    <w:rPr>
                      <w:bCs/>
                      <w:szCs w:val="21"/>
                    </w:rPr>
                  </w:pPr>
                  <w:r>
                    <w:rPr>
                      <w:bCs/>
                      <w:szCs w:val="21"/>
                    </w:rPr>
                    <w:t>总量</w:t>
                  </w:r>
                  <w:r>
                    <w:rPr>
                      <w:rFonts w:hint="eastAsia"/>
                      <w:bCs/>
                      <w:szCs w:val="21"/>
                    </w:rPr>
                    <w:t>（t/a）</w:t>
                  </w:r>
                </w:p>
              </w:tc>
              <w:tc>
                <w:tcPr>
                  <w:tcW w:w="1109" w:type="dxa"/>
                  <w:vMerge w:val="restart"/>
                  <w:vAlign w:val="center"/>
                </w:tcPr>
                <w:p>
                  <w:pPr>
                    <w:adjustRightInd w:val="0"/>
                    <w:snapToGrid w:val="0"/>
                    <w:jc w:val="center"/>
                    <w:rPr>
                      <w:bCs/>
                      <w:szCs w:val="21"/>
                    </w:rPr>
                  </w:pPr>
                  <w:r>
                    <w:rPr>
                      <w:bCs/>
                      <w:szCs w:val="21"/>
                    </w:rPr>
                    <w:t>脱硝率</w:t>
                  </w:r>
                  <w:r>
                    <w:rPr>
                      <w:rFonts w:hint="eastAsia"/>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监测次数</w:t>
                  </w:r>
                </w:p>
              </w:tc>
              <w:tc>
                <w:tcPr>
                  <w:tcW w:w="1046" w:type="dxa"/>
                  <w:vAlign w:val="center"/>
                </w:tcPr>
                <w:p>
                  <w:pPr>
                    <w:adjustRightInd w:val="0"/>
                    <w:snapToGrid w:val="0"/>
                    <w:jc w:val="center"/>
                    <w:rPr>
                      <w:bCs/>
                      <w:szCs w:val="21"/>
                    </w:rPr>
                  </w:pPr>
                  <w:r>
                    <w:rPr>
                      <w:rFonts w:hint="eastAsia"/>
                      <w:bCs/>
                      <w:szCs w:val="21"/>
                    </w:rPr>
                    <w:t>1</w:t>
                  </w:r>
                </w:p>
              </w:tc>
              <w:tc>
                <w:tcPr>
                  <w:tcW w:w="942" w:type="dxa"/>
                  <w:vAlign w:val="center"/>
                </w:tcPr>
                <w:p>
                  <w:pPr>
                    <w:adjustRightInd w:val="0"/>
                    <w:snapToGrid w:val="0"/>
                    <w:jc w:val="center"/>
                    <w:rPr>
                      <w:bCs/>
                      <w:szCs w:val="21"/>
                    </w:rPr>
                  </w:pPr>
                  <w:r>
                    <w:rPr>
                      <w:rFonts w:hint="eastAsia"/>
                      <w:bCs/>
                      <w:szCs w:val="21"/>
                    </w:rPr>
                    <w:t>2</w:t>
                  </w:r>
                </w:p>
              </w:tc>
              <w:tc>
                <w:tcPr>
                  <w:tcW w:w="942" w:type="dxa"/>
                  <w:vAlign w:val="center"/>
                </w:tcPr>
                <w:p>
                  <w:pPr>
                    <w:adjustRightInd w:val="0"/>
                    <w:snapToGrid w:val="0"/>
                    <w:jc w:val="center"/>
                    <w:rPr>
                      <w:bCs/>
                      <w:szCs w:val="21"/>
                    </w:rPr>
                  </w:pPr>
                  <w:r>
                    <w:rPr>
                      <w:rFonts w:hint="eastAsia"/>
                      <w:bCs/>
                      <w:szCs w:val="21"/>
                    </w:rPr>
                    <w:t>3</w:t>
                  </w:r>
                </w:p>
              </w:tc>
              <w:tc>
                <w:tcPr>
                  <w:tcW w:w="942" w:type="dxa"/>
                  <w:vAlign w:val="center"/>
                </w:tcPr>
                <w:p>
                  <w:pPr>
                    <w:adjustRightInd w:val="0"/>
                    <w:snapToGrid w:val="0"/>
                    <w:jc w:val="center"/>
                    <w:rPr>
                      <w:bCs/>
                      <w:szCs w:val="21"/>
                    </w:rPr>
                  </w:pPr>
                  <w:r>
                    <w:rPr>
                      <w:bCs/>
                      <w:szCs w:val="21"/>
                    </w:rPr>
                    <w:t>平均值</w:t>
                  </w:r>
                </w:p>
              </w:tc>
              <w:tc>
                <w:tcPr>
                  <w:tcW w:w="942" w:type="dxa"/>
                  <w:vAlign w:val="center"/>
                </w:tcPr>
                <w:p>
                  <w:pPr>
                    <w:adjustRightInd w:val="0"/>
                    <w:snapToGrid w:val="0"/>
                    <w:jc w:val="center"/>
                    <w:rPr>
                      <w:bCs/>
                      <w:szCs w:val="21"/>
                    </w:rPr>
                  </w:pPr>
                  <w:r>
                    <w:rPr>
                      <w:rFonts w:hint="eastAsia"/>
                      <w:bCs/>
                      <w:szCs w:val="21"/>
                    </w:rPr>
                    <w:t>1</w:t>
                  </w:r>
                </w:p>
              </w:tc>
              <w:tc>
                <w:tcPr>
                  <w:tcW w:w="942" w:type="dxa"/>
                  <w:vAlign w:val="center"/>
                </w:tcPr>
                <w:p>
                  <w:pPr>
                    <w:adjustRightInd w:val="0"/>
                    <w:snapToGrid w:val="0"/>
                    <w:jc w:val="center"/>
                    <w:rPr>
                      <w:bCs/>
                      <w:szCs w:val="21"/>
                    </w:rPr>
                  </w:pPr>
                  <w:r>
                    <w:rPr>
                      <w:rFonts w:hint="eastAsia"/>
                      <w:bCs/>
                      <w:szCs w:val="21"/>
                    </w:rPr>
                    <w:t>2</w:t>
                  </w:r>
                </w:p>
              </w:tc>
              <w:tc>
                <w:tcPr>
                  <w:tcW w:w="942" w:type="dxa"/>
                  <w:vAlign w:val="center"/>
                </w:tcPr>
                <w:p>
                  <w:pPr>
                    <w:adjustRightInd w:val="0"/>
                    <w:snapToGrid w:val="0"/>
                    <w:jc w:val="center"/>
                    <w:rPr>
                      <w:bCs/>
                      <w:szCs w:val="21"/>
                    </w:rPr>
                  </w:pPr>
                  <w:r>
                    <w:rPr>
                      <w:rFonts w:hint="eastAsia"/>
                      <w:bCs/>
                      <w:szCs w:val="21"/>
                    </w:rPr>
                    <w:t>3</w:t>
                  </w:r>
                </w:p>
              </w:tc>
              <w:tc>
                <w:tcPr>
                  <w:tcW w:w="942" w:type="dxa"/>
                  <w:vAlign w:val="center"/>
                </w:tcPr>
                <w:p>
                  <w:pPr>
                    <w:adjustRightInd w:val="0"/>
                    <w:snapToGrid w:val="0"/>
                    <w:jc w:val="center"/>
                    <w:rPr>
                      <w:bCs/>
                      <w:szCs w:val="21"/>
                    </w:rPr>
                  </w:pPr>
                  <w:r>
                    <w:rPr>
                      <w:bCs/>
                      <w:szCs w:val="21"/>
                    </w:rPr>
                    <w:t>平均值</w:t>
                  </w:r>
                </w:p>
              </w:tc>
              <w:tc>
                <w:tcPr>
                  <w:tcW w:w="726" w:type="dxa"/>
                  <w:vMerge w:val="continue"/>
                  <w:vAlign w:val="center"/>
                </w:tcPr>
                <w:p>
                  <w:pPr>
                    <w:adjustRightInd w:val="0"/>
                    <w:snapToGrid w:val="0"/>
                    <w:jc w:val="center"/>
                    <w:rPr>
                      <w:bCs/>
                      <w:szCs w:val="21"/>
                    </w:rPr>
                  </w:pP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含氧量</w:t>
                  </w:r>
                  <w:r>
                    <w:rPr>
                      <w:rFonts w:hint="eastAsia"/>
                      <w:bCs/>
                      <w:szCs w:val="21"/>
                    </w:rPr>
                    <w:t>（%）</w:t>
                  </w:r>
                </w:p>
              </w:tc>
              <w:tc>
                <w:tcPr>
                  <w:tcW w:w="1046" w:type="dxa"/>
                  <w:vAlign w:val="center"/>
                </w:tcPr>
                <w:p>
                  <w:pPr>
                    <w:adjustRightInd w:val="0"/>
                    <w:snapToGrid w:val="0"/>
                    <w:jc w:val="center"/>
                    <w:rPr>
                      <w:bCs/>
                      <w:szCs w:val="21"/>
                    </w:rPr>
                  </w:pPr>
                  <w:r>
                    <w:rPr>
                      <w:rFonts w:hint="eastAsia"/>
                      <w:bCs/>
                      <w:szCs w:val="21"/>
                    </w:rPr>
                    <w:t>12.48</w:t>
                  </w:r>
                </w:p>
              </w:tc>
              <w:tc>
                <w:tcPr>
                  <w:tcW w:w="942" w:type="dxa"/>
                  <w:vAlign w:val="center"/>
                </w:tcPr>
                <w:p>
                  <w:pPr>
                    <w:adjustRightInd w:val="0"/>
                    <w:snapToGrid w:val="0"/>
                    <w:jc w:val="center"/>
                    <w:rPr>
                      <w:bCs/>
                      <w:szCs w:val="21"/>
                    </w:rPr>
                  </w:pPr>
                  <w:r>
                    <w:rPr>
                      <w:rFonts w:hint="eastAsia"/>
                      <w:bCs/>
                      <w:szCs w:val="21"/>
                    </w:rPr>
                    <w:t>12.24</w:t>
                  </w:r>
                </w:p>
              </w:tc>
              <w:tc>
                <w:tcPr>
                  <w:tcW w:w="942" w:type="dxa"/>
                  <w:vAlign w:val="center"/>
                </w:tcPr>
                <w:p>
                  <w:pPr>
                    <w:adjustRightInd w:val="0"/>
                    <w:snapToGrid w:val="0"/>
                    <w:jc w:val="center"/>
                    <w:rPr>
                      <w:bCs/>
                      <w:szCs w:val="21"/>
                    </w:rPr>
                  </w:pPr>
                  <w:r>
                    <w:rPr>
                      <w:rFonts w:hint="eastAsia"/>
                      <w:bCs/>
                      <w:szCs w:val="21"/>
                    </w:rPr>
                    <w:t>12.43</w:t>
                  </w:r>
                </w:p>
              </w:tc>
              <w:tc>
                <w:tcPr>
                  <w:tcW w:w="942" w:type="dxa"/>
                  <w:vAlign w:val="center"/>
                </w:tcPr>
                <w:p>
                  <w:pPr>
                    <w:adjustRightInd w:val="0"/>
                    <w:snapToGrid w:val="0"/>
                    <w:jc w:val="center"/>
                    <w:rPr>
                      <w:bCs/>
                      <w:szCs w:val="21"/>
                    </w:rPr>
                  </w:pPr>
                  <w:r>
                    <w:rPr>
                      <w:rFonts w:hint="eastAsia"/>
                      <w:bCs/>
                      <w:szCs w:val="21"/>
                    </w:rPr>
                    <w:t>12.38</w:t>
                  </w:r>
                </w:p>
              </w:tc>
              <w:tc>
                <w:tcPr>
                  <w:tcW w:w="942" w:type="dxa"/>
                  <w:vAlign w:val="center"/>
                </w:tcPr>
                <w:p>
                  <w:pPr>
                    <w:adjustRightInd w:val="0"/>
                    <w:snapToGrid w:val="0"/>
                    <w:jc w:val="center"/>
                    <w:rPr>
                      <w:bCs/>
                      <w:szCs w:val="21"/>
                    </w:rPr>
                  </w:pPr>
                  <w:r>
                    <w:rPr>
                      <w:rFonts w:hint="eastAsia"/>
                      <w:bCs/>
                      <w:szCs w:val="21"/>
                    </w:rPr>
                    <w:t>12.20</w:t>
                  </w:r>
                </w:p>
              </w:tc>
              <w:tc>
                <w:tcPr>
                  <w:tcW w:w="942" w:type="dxa"/>
                  <w:vAlign w:val="center"/>
                </w:tcPr>
                <w:p>
                  <w:pPr>
                    <w:adjustRightInd w:val="0"/>
                    <w:snapToGrid w:val="0"/>
                    <w:jc w:val="center"/>
                    <w:rPr>
                      <w:bCs/>
                      <w:szCs w:val="21"/>
                    </w:rPr>
                  </w:pPr>
                  <w:r>
                    <w:rPr>
                      <w:rFonts w:hint="eastAsia"/>
                      <w:bCs/>
                      <w:szCs w:val="21"/>
                    </w:rPr>
                    <w:t>12.48</w:t>
                  </w:r>
                </w:p>
              </w:tc>
              <w:tc>
                <w:tcPr>
                  <w:tcW w:w="942" w:type="dxa"/>
                  <w:vAlign w:val="center"/>
                </w:tcPr>
                <w:p>
                  <w:pPr>
                    <w:adjustRightInd w:val="0"/>
                    <w:snapToGrid w:val="0"/>
                    <w:jc w:val="center"/>
                    <w:rPr>
                      <w:bCs/>
                      <w:szCs w:val="21"/>
                    </w:rPr>
                  </w:pPr>
                  <w:r>
                    <w:rPr>
                      <w:rFonts w:hint="eastAsia"/>
                      <w:bCs/>
                      <w:szCs w:val="21"/>
                    </w:rPr>
                    <w:t>12.76</w:t>
                  </w:r>
                </w:p>
              </w:tc>
              <w:tc>
                <w:tcPr>
                  <w:tcW w:w="942" w:type="dxa"/>
                  <w:vAlign w:val="center"/>
                </w:tcPr>
                <w:p>
                  <w:pPr>
                    <w:adjustRightInd w:val="0"/>
                    <w:snapToGrid w:val="0"/>
                    <w:jc w:val="center"/>
                    <w:rPr>
                      <w:bCs/>
                      <w:szCs w:val="21"/>
                    </w:rPr>
                  </w:pPr>
                  <w:r>
                    <w:rPr>
                      <w:rFonts w:hint="eastAsia"/>
                      <w:bCs/>
                      <w:szCs w:val="21"/>
                    </w:rPr>
                    <w:t>12.48</w:t>
                  </w:r>
                </w:p>
              </w:tc>
              <w:tc>
                <w:tcPr>
                  <w:tcW w:w="726" w:type="dxa"/>
                  <w:vAlign w:val="center"/>
                </w:tcPr>
                <w:p>
                  <w:pPr>
                    <w:adjustRightInd w:val="0"/>
                    <w:snapToGrid w:val="0"/>
                    <w:jc w:val="center"/>
                    <w:rPr>
                      <w:bCs/>
                      <w:szCs w:val="21"/>
                    </w:rPr>
                  </w:pPr>
                  <w:r>
                    <w:rPr>
                      <w:szCs w:val="21"/>
                      <w:lang w:bidi="ar"/>
                    </w:rPr>
                    <w:t>—</w:t>
                  </w:r>
                </w:p>
              </w:tc>
              <w:tc>
                <w:tcPr>
                  <w:tcW w:w="1157" w:type="dxa"/>
                  <w:vAlign w:val="center"/>
                </w:tcPr>
                <w:p>
                  <w:pPr>
                    <w:adjustRightInd w:val="0"/>
                    <w:snapToGrid w:val="0"/>
                    <w:jc w:val="center"/>
                    <w:rPr>
                      <w:bCs/>
                      <w:szCs w:val="21"/>
                    </w:rPr>
                  </w:pPr>
                  <w:r>
                    <w:rPr>
                      <w:szCs w:val="21"/>
                      <w:lang w:bidi="ar"/>
                    </w:rPr>
                    <w:t>—</w:t>
                  </w:r>
                </w:p>
              </w:tc>
              <w:tc>
                <w:tcPr>
                  <w:tcW w:w="1109" w:type="dxa"/>
                  <w:vAlign w:val="center"/>
                </w:tcPr>
                <w:p>
                  <w:pPr>
                    <w:adjustRightInd w:val="0"/>
                    <w:snapToGrid w:val="0"/>
                    <w:jc w:val="center"/>
                    <w:rPr>
                      <w:bCs/>
                      <w:szCs w:val="21"/>
                    </w:rPr>
                  </w:pPr>
                  <w:r>
                    <w:rPr>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标干排气量</w:t>
                  </w:r>
                  <w:r>
                    <w:rPr>
                      <w:rFonts w:hint="eastAsia"/>
                      <w:bCs/>
                      <w:szCs w:val="21"/>
                    </w:rPr>
                    <w:t>（m</w:t>
                  </w:r>
                  <w:r>
                    <w:rPr>
                      <w:rFonts w:hint="eastAsia"/>
                      <w:bCs/>
                      <w:szCs w:val="21"/>
                      <w:vertAlign w:val="superscript"/>
                    </w:rPr>
                    <w:t>3</w:t>
                  </w:r>
                  <w:r>
                    <w:rPr>
                      <w:rFonts w:hint="eastAsia"/>
                      <w:bCs/>
                      <w:szCs w:val="21"/>
                    </w:rPr>
                    <w:t>/h）</w:t>
                  </w:r>
                </w:p>
              </w:tc>
              <w:tc>
                <w:tcPr>
                  <w:tcW w:w="1046" w:type="dxa"/>
                  <w:vAlign w:val="center"/>
                </w:tcPr>
                <w:p>
                  <w:pPr>
                    <w:adjustRightInd w:val="0"/>
                    <w:snapToGrid w:val="0"/>
                    <w:jc w:val="center"/>
                    <w:rPr>
                      <w:bCs/>
                      <w:szCs w:val="21"/>
                    </w:rPr>
                  </w:pPr>
                  <w:r>
                    <w:rPr>
                      <w:rFonts w:hint="eastAsia"/>
                      <w:bCs/>
                      <w:szCs w:val="21"/>
                    </w:rPr>
                    <w:t>1039</w:t>
                  </w:r>
                </w:p>
              </w:tc>
              <w:tc>
                <w:tcPr>
                  <w:tcW w:w="942" w:type="dxa"/>
                  <w:vAlign w:val="center"/>
                </w:tcPr>
                <w:p>
                  <w:pPr>
                    <w:adjustRightInd w:val="0"/>
                    <w:snapToGrid w:val="0"/>
                    <w:jc w:val="center"/>
                    <w:rPr>
                      <w:bCs/>
                      <w:szCs w:val="21"/>
                    </w:rPr>
                  </w:pPr>
                  <w:r>
                    <w:rPr>
                      <w:rFonts w:hint="eastAsia"/>
                      <w:bCs/>
                      <w:szCs w:val="21"/>
                    </w:rPr>
                    <w:t>1026</w:t>
                  </w:r>
                </w:p>
              </w:tc>
              <w:tc>
                <w:tcPr>
                  <w:tcW w:w="942" w:type="dxa"/>
                  <w:vAlign w:val="center"/>
                </w:tcPr>
                <w:p>
                  <w:pPr>
                    <w:adjustRightInd w:val="0"/>
                    <w:snapToGrid w:val="0"/>
                    <w:jc w:val="center"/>
                    <w:rPr>
                      <w:bCs/>
                      <w:szCs w:val="21"/>
                    </w:rPr>
                  </w:pPr>
                  <w:r>
                    <w:rPr>
                      <w:rFonts w:hint="eastAsia"/>
                      <w:bCs/>
                      <w:szCs w:val="21"/>
                    </w:rPr>
                    <w:t>1017</w:t>
                  </w:r>
                </w:p>
              </w:tc>
              <w:tc>
                <w:tcPr>
                  <w:tcW w:w="942" w:type="dxa"/>
                  <w:vAlign w:val="center"/>
                </w:tcPr>
                <w:p>
                  <w:pPr>
                    <w:adjustRightInd w:val="0"/>
                    <w:snapToGrid w:val="0"/>
                    <w:jc w:val="center"/>
                    <w:rPr>
                      <w:bCs/>
                      <w:szCs w:val="21"/>
                    </w:rPr>
                  </w:pPr>
                  <w:r>
                    <w:rPr>
                      <w:rFonts w:hint="eastAsia"/>
                      <w:bCs/>
                      <w:szCs w:val="21"/>
                    </w:rPr>
                    <w:t>1027</w:t>
                  </w:r>
                </w:p>
              </w:tc>
              <w:tc>
                <w:tcPr>
                  <w:tcW w:w="942" w:type="dxa"/>
                  <w:vAlign w:val="center"/>
                </w:tcPr>
                <w:p>
                  <w:pPr>
                    <w:adjustRightInd w:val="0"/>
                    <w:snapToGrid w:val="0"/>
                    <w:jc w:val="center"/>
                    <w:rPr>
                      <w:bCs/>
                      <w:szCs w:val="21"/>
                    </w:rPr>
                  </w:pPr>
                  <w:r>
                    <w:rPr>
                      <w:rFonts w:hint="eastAsia"/>
                      <w:bCs/>
                      <w:szCs w:val="21"/>
                    </w:rPr>
                    <w:t>1057</w:t>
                  </w:r>
                </w:p>
              </w:tc>
              <w:tc>
                <w:tcPr>
                  <w:tcW w:w="942" w:type="dxa"/>
                  <w:vAlign w:val="center"/>
                </w:tcPr>
                <w:p>
                  <w:pPr>
                    <w:adjustRightInd w:val="0"/>
                    <w:snapToGrid w:val="0"/>
                    <w:jc w:val="center"/>
                    <w:rPr>
                      <w:bCs/>
                      <w:szCs w:val="21"/>
                    </w:rPr>
                  </w:pPr>
                  <w:r>
                    <w:rPr>
                      <w:rFonts w:hint="eastAsia"/>
                      <w:bCs/>
                      <w:szCs w:val="21"/>
                    </w:rPr>
                    <w:t>1058</w:t>
                  </w:r>
                </w:p>
              </w:tc>
              <w:tc>
                <w:tcPr>
                  <w:tcW w:w="942" w:type="dxa"/>
                  <w:vAlign w:val="center"/>
                </w:tcPr>
                <w:p>
                  <w:pPr>
                    <w:adjustRightInd w:val="0"/>
                    <w:snapToGrid w:val="0"/>
                    <w:jc w:val="center"/>
                    <w:rPr>
                      <w:bCs/>
                      <w:szCs w:val="21"/>
                    </w:rPr>
                  </w:pPr>
                  <w:r>
                    <w:rPr>
                      <w:rFonts w:hint="eastAsia"/>
                      <w:bCs/>
                      <w:szCs w:val="21"/>
                    </w:rPr>
                    <w:t>1045</w:t>
                  </w:r>
                </w:p>
              </w:tc>
              <w:tc>
                <w:tcPr>
                  <w:tcW w:w="942" w:type="dxa"/>
                  <w:vAlign w:val="center"/>
                </w:tcPr>
                <w:p>
                  <w:pPr>
                    <w:adjustRightInd w:val="0"/>
                    <w:snapToGrid w:val="0"/>
                    <w:jc w:val="center"/>
                    <w:rPr>
                      <w:bCs/>
                      <w:szCs w:val="21"/>
                    </w:rPr>
                  </w:pPr>
                  <w:r>
                    <w:rPr>
                      <w:rFonts w:hint="eastAsia"/>
                      <w:bCs/>
                      <w:szCs w:val="21"/>
                    </w:rPr>
                    <w:t>1053</w:t>
                  </w:r>
                </w:p>
              </w:tc>
              <w:tc>
                <w:tcPr>
                  <w:tcW w:w="726" w:type="dxa"/>
                  <w:vAlign w:val="center"/>
                </w:tcPr>
                <w:p>
                  <w:pPr>
                    <w:adjustRightInd w:val="0"/>
                    <w:snapToGrid w:val="0"/>
                    <w:jc w:val="center"/>
                    <w:rPr>
                      <w:bCs/>
                      <w:szCs w:val="21"/>
                    </w:rPr>
                  </w:pPr>
                </w:p>
              </w:tc>
              <w:tc>
                <w:tcPr>
                  <w:tcW w:w="1157" w:type="dxa"/>
                  <w:vAlign w:val="center"/>
                </w:tcPr>
                <w:p>
                  <w:pPr>
                    <w:adjustRightInd w:val="0"/>
                    <w:snapToGrid w:val="0"/>
                    <w:jc w:val="center"/>
                    <w:rPr>
                      <w:bCs/>
                      <w:szCs w:val="21"/>
                    </w:rPr>
                  </w:pPr>
                </w:p>
              </w:tc>
              <w:tc>
                <w:tcPr>
                  <w:tcW w:w="1109" w:type="dxa"/>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restart"/>
                  <w:vAlign w:val="center"/>
                </w:tcPr>
                <w:p>
                  <w:pPr>
                    <w:adjustRightInd w:val="0"/>
                    <w:snapToGrid w:val="0"/>
                    <w:jc w:val="center"/>
                    <w:rPr>
                      <w:bCs/>
                      <w:szCs w:val="21"/>
                    </w:rPr>
                  </w:pPr>
                  <w:r>
                    <w:rPr>
                      <w:bCs/>
                      <w:szCs w:val="21"/>
                    </w:rPr>
                    <w:t>颗粒物</w:t>
                  </w:r>
                </w:p>
              </w:tc>
              <w:tc>
                <w:tcPr>
                  <w:tcW w:w="1638" w:type="dxa"/>
                  <w:vAlign w:val="center"/>
                </w:tcPr>
                <w:p>
                  <w:pPr>
                    <w:adjustRightInd w:val="0"/>
                    <w:snapToGrid w:val="0"/>
                    <w:jc w:val="center"/>
                    <w:rPr>
                      <w:bCs/>
                      <w:szCs w:val="21"/>
                    </w:rPr>
                  </w:pPr>
                  <w:r>
                    <w:rPr>
                      <w:bCs/>
                      <w:szCs w:val="21"/>
                    </w:rPr>
                    <w:t>实测浓度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rFonts w:hint="eastAsia"/>
                      <w:bCs/>
                      <w:szCs w:val="21"/>
                    </w:rPr>
                    <w:t>19.3</w:t>
                  </w:r>
                </w:p>
              </w:tc>
              <w:tc>
                <w:tcPr>
                  <w:tcW w:w="942" w:type="dxa"/>
                  <w:vAlign w:val="center"/>
                </w:tcPr>
                <w:p>
                  <w:pPr>
                    <w:adjustRightInd w:val="0"/>
                    <w:snapToGrid w:val="0"/>
                    <w:jc w:val="center"/>
                    <w:rPr>
                      <w:bCs/>
                      <w:szCs w:val="21"/>
                    </w:rPr>
                  </w:pPr>
                  <w:r>
                    <w:rPr>
                      <w:rFonts w:hint="eastAsia"/>
                      <w:bCs/>
                      <w:szCs w:val="21"/>
                    </w:rPr>
                    <w:t>20.2</w:t>
                  </w:r>
                </w:p>
              </w:tc>
              <w:tc>
                <w:tcPr>
                  <w:tcW w:w="942" w:type="dxa"/>
                  <w:vAlign w:val="center"/>
                </w:tcPr>
                <w:p>
                  <w:pPr>
                    <w:adjustRightInd w:val="0"/>
                    <w:snapToGrid w:val="0"/>
                    <w:jc w:val="center"/>
                    <w:rPr>
                      <w:bCs/>
                      <w:szCs w:val="21"/>
                    </w:rPr>
                  </w:pPr>
                  <w:r>
                    <w:rPr>
                      <w:rFonts w:hint="eastAsia"/>
                      <w:bCs/>
                      <w:szCs w:val="21"/>
                    </w:rPr>
                    <w:t>19.8</w:t>
                  </w:r>
                </w:p>
              </w:tc>
              <w:tc>
                <w:tcPr>
                  <w:tcW w:w="942" w:type="dxa"/>
                  <w:vAlign w:val="center"/>
                </w:tcPr>
                <w:p>
                  <w:pPr>
                    <w:adjustRightInd w:val="0"/>
                    <w:snapToGrid w:val="0"/>
                    <w:jc w:val="center"/>
                    <w:rPr>
                      <w:bCs/>
                      <w:szCs w:val="21"/>
                    </w:rPr>
                  </w:pPr>
                  <w:r>
                    <w:rPr>
                      <w:rFonts w:hint="eastAsia"/>
                      <w:bCs/>
                      <w:szCs w:val="21"/>
                    </w:rPr>
                    <w:t>19.8</w:t>
                  </w:r>
                </w:p>
              </w:tc>
              <w:tc>
                <w:tcPr>
                  <w:tcW w:w="942" w:type="dxa"/>
                  <w:vAlign w:val="center"/>
                </w:tcPr>
                <w:p>
                  <w:pPr>
                    <w:adjustRightInd w:val="0"/>
                    <w:snapToGrid w:val="0"/>
                    <w:jc w:val="center"/>
                    <w:rPr>
                      <w:bCs/>
                      <w:szCs w:val="21"/>
                    </w:rPr>
                  </w:pPr>
                  <w:r>
                    <w:rPr>
                      <w:rFonts w:hint="eastAsia"/>
                      <w:bCs/>
                      <w:szCs w:val="21"/>
                    </w:rPr>
                    <w:t>10.2</w:t>
                  </w:r>
                </w:p>
              </w:tc>
              <w:tc>
                <w:tcPr>
                  <w:tcW w:w="942" w:type="dxa"/>
                  <w:vAlign w:val="center"/>
                </w:tcPr>
                <w:p>
                  <w:pPr>
                    <w:adjustRightInd w:val="0"/>
                    <w:snapToGrid w:val="0"/>
                    <w:jc w:val="center"/>
                    <w:rPr>
                      <w:bCs/>
                      <w:szCs w:val="21"/>
                    </w:rPr>
                  </w:pPr>
                  <w:r>
                    <w:rPr>
                      <w:rFonts w:hint="eastAsia"/>
                      <w:bCs/>
                      <w:szCs w:val="21"/>
                    </w:rPr>
                    <w:t>10.6</w:t>
                  </w:r>
                </w:p>
              </w:tc>
              <w:tc>
                <w:tcPr>
                  <w:tcW w:w="942" w:type="dxa"/>
                  <w:vAlign w:val="center"/>
                </w:tcPr>
                <w:p>
                  <w:pPr>
                    <w:adjustRightInd w:val="0"/>
                    <w:snapToGrid w:val="0"/>
                    <w:jc w:val="center"/>
                    <w:rPr>
                      <w:bCs/>
                      <w:szCs w:val="21"/>
                    </w:rPr>
                  </w:pPr>
                  <w:r>
                    <w:rPr>
                      <w:rFonts w:hint="eastAsia"/>
                      <w:bCs/>
                      <w:szCs w:val="21"/>
                    </w:rPr>
                    <w:t>9.7</w:t>
                  </w:r>
                </w:p>
              </w:tc>
              <w:tc>
                <w:tcPr>
                  <w:tcW w:w="942" w:type="dxa"/>
                  <w:vAlign w:val="center"/>
                </w:tcPr>
                <w:p>
                  <w:pPr>
                    <w:adjustRightInd w:val="0"/>
                    <w:snapToGrid w:val="0"/>
                    <w:jc w:val="center"/>
                    <w:rPr>
                      <w:bCs/>
                      <w:szCs w:val="21"/>
                    </w:rPr>
                  </w:pPr>
                  <w:r>
                    <w:rPr>
                      <w:rFonts w:hint="eastAsia"/>
                      <w:bCs/>
                      <w:szCs w:val="21"/>
                    </w:rPr>
                    <w:t>10.2</w:t>
                  </w:r>
                </w:p>
              </w:tc>
              <w:tc>
                <w:tcPr>
                  <w:tcW w:w="726" w:type="dxa"/>
                  <w:vAlign w:val="center"/>
                </w:tcPr>
                <w:p>
                  <w:pPr>
                    <w:adjustRightInd w:val="0"/>
                    <w:snapToGrid w:val="0"/>
                    <w:jc w:val="center"/>
                    <w:rPr>
                      <w:bCs/>
                      <w:szCs w:val="21"/>
                    </w:rPr>
                  </w:pPr>
                  <w:r>
                    <w:rPr>
                      <w:szCs w:val="21"/>
                      <w:lang w:bidi="ar"/>
                    </w:rPr>
                    <w:t>—</w:t>
                  </w:r>
                </w:p>
              </w:tc>
              <w:tc>
                <w:tcPr>
                  <w:tcW w:w="1157" w:type="dxa"/>
                  <w:vMerge w:val="restart"/>
                  <w:vAlign w:val="center"/>
                </w:tcPr>
                <w:p>
                  <w:pPr>
                    <w:adjustRightInd w:val="0"/>
                    <w:snapToGrid w:val="0"/>
                    <w:jc w:val="center"/>
                    <w:rPr>
                      <w:bCs/>
                      <w:szCs w:val="21"/>
                    </w:rPr>
                  </w:pPr>
                  <w:r>
                    <w:rPr>
                      <w:rFonts w:hint="eastAsia"/>
                      <w:bCs/>
                      <w:szCs w:val="21"/>
                    </w:rPr>
                    <w:t>0.03</w:t>
                  </w:r>
                </w:p>
              </w:tc>
              <w:tc>
                <w:tcPr>
                  <w:tcW w:w="1109" w:type="dxa"/>
                  <w:vMerge w:val="restart"/>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折算浓度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rFonts w:hint="eastAsia"/>
                      <w:bCs/>
                      <w:szCs w:val="21"/>
                    </w:rPr>
                    <w:t>14.3</w:t>
                  </w:r>
                </w:p>
              </w:tc>
              <w:tc>
                <w:tcPr>
                  <w:tcW w:w="942" w:type="dxa"/>
                  <w:vAlign w:val="center"/>
                </w:tcPr>
                <w:p>
                  <w:pPr>
                    <w:adjustRightInd w:val="0"/>
                    <w:snapToGrid w:val="0"/>
                    <w:jc w:val="center"/>
                    <w:rPr>
                      <w:bCs/>
                      <w:szCs w:val="21"/>
                    </w:rPr>
                  </w:pPr>
                  <w:r>
                    <w:rPr>
                      <w:rFonts w:hint="eastAsia"/>
                      <w:bCs/>
                      <w:szCs w:val="21"/>
                    </w:rPr>
                    <w:t>15.4</w:t>
                  </w:r>
                </w:p>
              </w:tc>
              <w:tc>
                <w:tcPr>
                  <w:tcW w:w="942" w:type="dxa"/>
                  <w:vAlign w:val="center"/>
                </w:tcPr>
                <w:p>
                  <w:pPr>
                    <w:adjustRightInd w:val="0"/>
                    <w:snapToGrid w:val="0"/>
                    <w:jc w:val="center"/>
                    <w:rPr>
                      <w:bCs/>
                      <w:szCs w:val="21"/>
                    </w:rPr>
                  </w:pPr>
                  <w:r>
                    <w:rPr>
                      <w:rFonts w:hint="eastAsia"/>
                      <w:bCs/>
                      <w:szCs w:val="21"/>
                    </w:rPr>
                    <w:t>14.5</w:t>
                  </w:r>
                </w:p>
              </w:tc>
              <w:tc>
                <w:tcPr>
                  <w:tcW w:w="942" w:type="dxa"/>
                  <w:vAlign w:val="center"/>
                </w:tcPr>
                <w:p>
                  <w:pPr>
                    <w:adjustRightInd w:val="0"/>
                    <w:snapToGrid w:val="0"/>
                    <w:jc w:val="center"/>
                    <w:rPr>
                      <w:bCs/>
                      <w:szCs w:val="21"/>
                    </w:rPr>
                  </w:pPr>
                  <w:r>
                    <w:rPr>
                      <w:rFonts w:hint="eastAsia"/>
                      <w:bCs/>
                      <w:szCs w:val="21"/>
                    </w:rPr>
                    <w:t>14.7</w:t>
                  </w:r>
                </w:p>
              </w:tc>
              <w:tc>
                <w:tcPr>
                  <w:tcW w:w="726" w:type="dxa"/>
                  <w:vAlign w:val="center"/>
                </w:tcPr>
                <w:p>
                  <w:pPr>
                    <w:adjustRightInd w:val="0"/>
                    <w:snapToGrid w:val="0"/>
                    <w:jc w:val="center"/>
                    <w:rPr>
                      <w:bCs/>
                      <w:szCs w:val="21"/>
                    </w:rPr>
                  </w:pPr>
                  <w:r>
                    <w:rPr>
                      <w:rFonts w:hint="eastAsia"/>
                      <w:bCs/>
                      <w:szCs w:val="21"/>
                    </w:rPr>
                    <w:t>30</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排放速率</w:t>
                  </w:r>
                  <w:r>
                    <w:rPr>
                      <w:szCs w:val="21"/>
                      <w:lang w:bidi="ar"/>
                    </w:rPr>
                    <w:t>(Kg/h)</w:t>
                  </w:r>
                </w:p>
              </w:tc>
              <w:tc>
                <w:tcPr>
                  <w:tcW w:w="1046" w:type="dxa"/>
                  <w:vAlign w:val="center"/>
                </w:tcPr>
                <w:p>
                  <w:pPr>
                    <w:adjustRightInd w:val="0"/>
                    <w:snapToGrid w:val="0"/>
                    <w:jc w:val="center"/>
                    <w:rPr>
                      <w:bCs/>
                      <w:szCs w:val="21"/>
                    </w:rPr>
                  </w:pPr>
                  <w:r>
                    <w:rPr>
                      <w:rFonts w:hint="eastAsia"/>
                      <w:bCs/>
                      <w:szCs w:val="21"/>
                    </w:rPr>
                    <w:t>0.020</w:t>
                  </w:r>
                </w:p>
              </w:tc>
              <w:tc>
                <w:tcPr>
                  <w:tcW w:w="942" w:type="dxa"/>
                  <w:vAlign w:val="center"/>
                </w:tcPr>
                <w:p>
                  <w:pPr>
                    <w:adjustRightInd w:val="0"/>
                    <w:snapToGrid w:val="0"/>
                    <w:jc w:val="center"/>
                    <w:rPr>
                      <w:bCs/>
                      <w:szCs w:val="21"/>
                    </w:rPr>
                  </w:pPr>
                  <w:r>
                    <w:rPr>
                      <w:rFonts w:hint="eastAsia"/>
                      <w:bCs/>
                      <w:szCs w:val="21"/>
                    </w:rPr>
                    <w:t>0.021</w:t>
                  </w:r>
                </w:p>
              </w:tc>
              <w:tc>
                <w:tcPr>
                  <w:tcW w:w="942" w:type="dxa"/>
                  <w:vAlign w:val="center"/>
                </w:tcPr>
                <w:p>
                  <w:pPr>
                    <w:adjustRightInd w:val="0"/>
                    <w:snapToGrid w:val="0"/>
                    <w:jc w:val="center"/>
                    <w:rPr>
                      <w:bCs/>
                      <w:szCs w:val="21"/>
                    </w:rPr>
                  </w:pPr>
                  <w:r>
                    <w:rPr>
                      <w:rFonts w:hint="eastAsia"/>
                      <w:bCs/>
                      <w:szCs w:val="21"/>
                    </w:rPr>
                    <w:t>0.020</w:t>
                  </w:r>
                </w:p>
              </w:tc>
              <w:tc>
                <w:tcPr>
                  <w:tcW w:w="942" w:type="dxa"/>
                  <w:vAlign w:val="center"/>
                </w:tcPr>
                <w:p>
                  <w:pPr>
                    <w:adjustRightInd w:val="0"/>
                    <w:snapToGrid w:val="0"/>
                    <w:jc w:val="center"/>
                    <w:rPr>
                      <w:bCs/>
                      <w:szCs w:val="21"/>
                    </w:rPr>
                  </w:pPr>
                  <w:r>
                    <w:rPr>
                      <w:rFonts w:hint="eastAsia"/>
                      <w:bCs/>
                      <w:szCs w:val="21"/>
                    </w:rPr>
                    <w:t>0.020</w:t>
                  </w:r>
                </w:p>
              </w:tc>
              <w:tc>
                <w:tcPr>
                  <w:tcW w:w="942" w:type="dxa"/>
                  <w:vAlign w:val="center"/>
                </w:tcPr>
                <w:p>
                  <w:pPr>
                    <w:adjustRightInd w:val="0"/>
                    <w:snapToGrid w:val="0"/>
                    <w:jc w:val="center"/>
                    <w:rPr>
                      <w:bCs/>
                      <w:szCs w:val="21"/>
                    </w:rPr>
                  </w:pPr>
                  <w:r>
                    <w:rPr>
                      <w:rFonts w:hint="eastAsia"/>
                      <w:bCs/>
                      <w:szCs w:val="21"/>
                    </w:rPr>
                    <w:t>0.011</w:t>
                  </w:r>
                </w:p>
              </w:tc>
              <w:tc>
                <w:tcPr>
                  <w:tcW w:w="942" w:type="dxa"/>
                  <w:vAlign w:val="center"/>
                </w:tcPr>
                <w:p>
                  <w:pPr>
                    <w:adjustRightInd w:val="0"/>
                    <w:snapToGrid w:val="0"/>
                    <w:jc w:val="center"/>
                    <w:rPr>
                      <w:bCs/>
                      <w:szCs w:val="21"/>
                    </w:rPr>
                  </w:pPr>
                  <w:r>
                    <w:rPr>
                      <w:rFonts w:hint="eastAsia"/>
                      <w:bCs/>
                      <w:szCs w:val="21"/>
                    </w:rPr>
                    <w:t>0.011</w:t>
                  </w:r>
                </w:p>
              </w:tc>
              <w:tc>
                <w:tcPr>
                  <w:tcW w:w="942" w:type="dxa"/>
                  <w:vAlign w:val="center"/>
                </w:tcPr>
                <w:p>
                  <w:pPr>
                    <w:adjustRightInd w:val="0"/>
                    <w:snapToGrid w:val="0"/>
                    <w:jc w:val="center"/>
                    <w:rPr>
                      <w:bCs/>
                      <w:szCs w:val="21"/>
                    </w:rPr>
                  </w:pPr>
                  <w:r>
                    <w:rPr>
                      <w:rFonts w:hint="eastAsia"/>
                      <w:bCs/>
                      <w:szCs w:val="21"/>
                    </w:rPr>
                    <w:t>0.010</w:t>
                  </w:r>
                </w:p>
              </w:tc>
              <w:tc>
                <w:tcPr>
                  <w:tcW w:w="942" w:type="dxa"/>
                  <w:vAlign w:val="center"/>
                </w:tcPr>
                <w:p>
                  <w:pPr>
                    <w:adjustRightInd w:val="0"/>
                    <w:snapToGrid w:val="0"/>
                    <w:jc w:val="center"/>
                    <w:rPr>
                      <w:bCs/>
                      <w:szCs w:val="21"/>
                    </w:rPr>
                  </w:pPr>
                  <w:r>
                    <w:rPr>
                      <w:rFonts w:hint="eastAsia"/>
                      <w:bCs/>
                      <w:szCs w:val="21"/>
                    </w:rPr>
                    <w:t>0.011</w:t>
                  </w:r>
                </w:p>
              </w:tc>
              <w:tc>
                <w:tcPr>
                  <w:tcW w:w="726" w:type="dxa"/>
                  <w:vAlign w:val="center"/>
                </w:tcPr>
                <w:p>
                  <w:pPr>
                    <w:adjustRightInd w:val="0"/>
                    <w:snapToGrid w:val="0"/>
                    <w:jc w:val="center"/>
                    <w:rPr>
                      <w:bCs/>
                      <w:szCs w:val="21"/>
                    </w:rPr>
                  </w:pPr>
                  <w:r>
                    <w:rPr>
                      <w:szCs w:val="21"/>
                      <w:lang w:bidi="ar"/>
                    </w:rPr>
                    <w:t>—</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restart"/>
                  <w:vAlign w:val="center"/>
                </w:tcPr>
                <w:p>
                  <w:pPr>
                    <w:adjustRightInd w:val="0"/>
                    <w:snapToGrid w:val="0"/>
                    <w:jc w:val="center"/>
                    <w:rPr>
                      <w:bCs/>
                      <w:szCs w:val="21"/>
                    </w:rPr>
                  </w:pPr>
                  <w:r>
                    <w:rPr>
                      <w:bCs/>
                      <w:szCs w:val="21"/>
                    </w:rPr>
                    <w:t>二氧化硫</w:t>
                  </w:r>
                </w:p>
              </w:tc>
              <w:tc>
                <w:tcPr>
                  <w:tcW w:w="1638" w:type="dxa"/>
                  <w:vAlign w:val="center"/>
                </w:tcPr>
                <w:p>
                  <w:pPr>
                    <w:adjustRightInd w:val="0"/>
                    <w:snapToGrid w:val="0"/>
                    <w:jc w:val="center"/>
                    <w:rPr>
                      <w:bCs/>
                      <w:szCs w:val="21"/>
                    </w:rPr>
                  </w:pPr>
                  <w:r>
                    <w:rPr>
                      <w:bCs/>
                      <w:szCs w:val="21"/>
                    </w:rPr>
                    <w:t>实测浓度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726" w:type="dxa"/>
                  <w:vAlign w:val="center"/>
                </w:tcPr>
                <w:p>
                  <w:pPr>
                    <w:adjustRightInd w:val="0"/>
                    <w:snapToGrid w:val="0"/>
                    <w:jc w:val="center"/>
                    <w:rPr>
                      <w:bCs/>
                      <w:szCs w:val="21"/>
                    </w:rPr>
                  </w:pPr>
                  <w:r>
                    <w:rPr>
                      <w:szCs w:val="21"/>
                      <w:lang w:bidi="ar"/>
                    </w:rPr>
                    <w:t>—</w:t>
                  </w:r>
                </w:p>
              </w:tc>
              <w:tc>
                <w:tcPr>
                  <w:tcW w:w="1157" w:type="dxa"/>
                  <w:vMerge w:val="restart"/>
                  <w:vAlign w:val="center"/>
                </w:tcPr>
                <w:p>
                  <w:pPr>
                    <w:adjustRightInd w:val="0"/>
                    <w:snapToGrid w:val="0"/>
                    <w:jc w:val="center"/>
                    <w:rPr>
                      <w:bCs/>
                      <w:szCs w:val="21"/>
                    </w:rPr>
                  </w:pPr>
                  <w:r>
                    <w:rPr>
                      <w:szCs w:val="21"/>
                      <w:lang w:bidi="ar"/>
                    </w:rPr>
                    <w:t>—</w:t>
                  </w:r>
                </w:p>
              </w:tc>
              <w:tc>
                <w:tcPr>
                  <w:tcW w:w="1109" w:type="dxa"/>
                  <w:vMerge w:val="restart"/>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折算浓度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726" w:type="dxa"/>
                  <w:vAlign w:val="center"/>
                </w:tcPr>
                <w:p>
                  <w:pPr>
                    <w:adjustRightInd w:val="0"/>
                    <w:snapToGrid w:val="0"/>
                    <w:jc w:val="center"/>
                    <w:rPr>
                      <w:bCs/>
                      <w:szCs w:val="21"/>
                    </w:rPr>
                  </w:pPr>
                  <w:r>
                    <w:rPr>
                      <w:rFonts w:hint="eastAsia"/>
                      <w:bCs/>
                      <w:szCs w:val="21"/>
                    </w:rPr>
                    <w:t>200</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排放速率</w:t>
                  </w:r>
                  <w:r>
                    <w:rPr>
                      <w:szCs w:val="21"/>
                      <w:lang w:bidi="ar"/>
                    </w:rPr>
                    <w:t>(Kg/h)</w:t>
                  </w:r>
                </w:p>
              </w:tc>
              <w:tc>
                <w:tcPr>
                  <w:tcW w:w="1046" w:type="dxa"/>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726" w:type="dxa"/>
                  <w:vAlign w:val="center"/>
                </w:tcPr>
                <w:p>
                  <w:pPr>
                    <w:adjustRightInd w:val="0"/>
                    <w:snapToGrid w:val="0"/>
                    <w:jc w:val="center"/>
                    <w:rPr>
                      <w:bCs/>
                      <w:szCs w:val="21"/>
                    </w:rPr>
                  </w:pPr>
                  <w:r>
                    <w:rPr>
                      <w:szCs w:val="21"/>
                      <w:lang w:bidi="ar"/>
                    </w:rPr>
                    <w:t>—</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restart"/>
                  <w:vAlign w:val="center"/>
                </w:tcPr>
                <w:p>
                  <w:pPr>
                    <w:adjustRightInd w:val="0"/>
                    <w:snapToGrid w:val="0"/>
                    <w:jc w:val="center"/>
                    <w:rPr>
                      <w:bCs/>
                      <w:szCs w:val="21"/>
                    </w:rPr>
                  </w:pPr>
                  <w:r>
                    <w:rPr>
                      <w:bCs/>
                      <w:szCs w:val="21"/>
                    </w:rPr>
                    <w:t>氮氧化物</w:t>
                  </w:r>
                </w:p>
              </w:tc>
              <w:tc>
                <w:tcPr>
                  <w:tcW w:w="1638" w:type="dxa"/>
                  <w:vAlign w:val="center"/>
                </w:tcPr>
                <w:p>
                  <w:pPr>
                    <w:adjustRightInd w:val="0"/>
                    <w:snapToGrid w:val="0"/>
                    <w:jc w:val="center"/>
                    <w:rPr>
                      <w:bCs/>
                      <w:szCs w:val="21"/>
                    </w:rPr>
                  </w:pPr>
                  <w:r>
                    <w:rPr>
                      <w:bCs/>
                      <w:szCs w:val="21"/>
                    </w:rPr>
                    <w:t>实测浓度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rFonts w:hint="eastAsia"/>
                      <w:bCs/>
                      <w:szCs w:val="21"/>
                    </w:rPr>
                    <w:t>512.2</w:t>
                  </w:r>
                </w:p>
              </w:tc>
              <w:tc>
                <w:tcPr>
                  <w:tcW w:w="942" w:type="dxa"/>
                  <w:vAlign w:val="center"/>
                </w:tcPr>
                <w:p>
                  <w:pPr>
                    <w:adjustRightInd w:val="0"/>
                    <w:snapToGrid w:val="0"/>
                    <w:jc w:val="center"/>
                    <w:rPr>
                      <w:bCs/>
                      <w:szCs w:val="21"/>
                    </w:rPr>
                  </w:pPr>
                  <w:r>
                    <w:rPr>
                      <w:rFonts w:hint="eastAsia"/>
                      <w:bCs/>
                      <w:szCs w:val="21"/>
                    </w:rPr>
                    <w:t>517.9</w:t>
                  </w:r>
                </w:p>
              </w:tc>
              <w:tc>
                <w:tcPr>
                  <w:tcW w:w="942" w:type="dxa"/>
                  <w:vAlign w:val="center"/>
                </w:tcPr>
                <w:p>
                  <w:pPr>
                    <w:adjustRightInd w:val="0"/>
                    <w:snapToGrid w:val="0"/>
                    <w:jc w:val="center"/>
                    <w:rPr>
                      <w:bCs/>
                      <w:szCs w:val="21"/>
                    </w:rPr>
                  </w:pPr>
                  <w:r>
                    <w:rPr>
                      <w:rFonts w:hint="eastAsia"/>
                      <w:bCs/>
                      <w:szCs w:val="21"/>
                    </w:rPr>
                    <w:t>508.1</w:t>
                  </w:r>
                </w:p>
              </w:tc>
              <w:tc>
                <w:tcPr>
                  <w:tcW w:w="942" w:type="dxa"/>
                  <w:vAlign w:val="center"/>
                </w:tcPr>
                <w:p>
                  <w:pPr>
                    <w:adjustRightInd w:val="0"/>
                    <w:snapToGrid w:val="0"/>
                    <w:jc w:val="center"/>
                    <w:rPr>
                      <w:bCs/>
                      <w:szCs w:val="21"/>
                    </w:rPr>
                  </w:pPr>
                  <w:r>
                    <w:rPr>
                      <w:rFonts w:hint="eastAsia"/>
                      <w:bCs/>
                      <w:szCs w:val="21"/>
                    </w:rPr>
                    <w:t>512.7</w:t>
                  </w:r>
                </w:p>
              </w:tc>
              <w:tc>
                <w:tcPr>
                  <w:tcW w:w="942" w:type="dxa"/>
                  <w:vAlign w:val="center"/>
                </w:tcPr>
                <w:p>
                  <w:pPr>
                    <w:adjustRightInd w:val="0"/>
                    <w:snapToGrid w:val="0"/>
                    <w:jc w:val="center"/>
                    <w:rPr>
                      <w:bCs/>
                      <w:szCs w:val="21"/>
                    </w:rPr>
                  </w:pPr>
                  <w:r>
                    <w:rPr>
                      <w:rFonts w:hint="eastAsia"/>
                      <w:bCs/>
                      <w:szCs w:val="21"/>
                    </w:rPr>
                    <w:t>72.8</w:t>
                  </w:r>
                </w:p>
              </w:tc>
              <w:tc>
                <w:tcPr>
                  <w:tcW w:w="942" w:type="dxa"/>
                  <w:vAlign w:val="center"/>
                </w:tcPr>
                <w:p>
                  <w:pPr>
                    <w:adjustRightInd w:val="0"/>
                    <w:snapToGrid w:val="0"/>
                    <w:jc w:val="center"/>
                    <w:rPr>
                      <w:bCs/>
                      <w:szCs w:val="21"/>
                    </w:rPr>
                  </w:pPr>
                  <w:r>
                    <w:rPr>
                      <w:rFonts w:hint="eastAsia"/>
                      <w:bCs/>
                      <w:szCs w:val="21"/>
                    </w:rPr>
                    <w:t>69.0</w:t>
                  </w:r>
                </w:p>
              </w:tc>
              <w:tc>
                <w:tcPr>
                  <w:tcW w:w="942" w:type="dxa"/>
                  <w:vAlign w:val="center"/>
                </w:tcPr>
                <w:p>
                  <w:pPr>
                    <w:adjustRightInd w:val="0"/>
                    <w:snapToGrid w:val="0"/>
                    <w:jc w:val="center"/>
                    <w:rPr>
                      <w:bCs/>
                      <w:szCs w:val="21"/>
                    </w:rPr>
                  </w:pPr>
                  <w:r>
                    <w:rPr>
                      <w:rFonts w:hint="eastAsia"/>
                      <w:bCs/>
                      <w:szCs w:val="21"/>
                    </w:rPr>
                    <w:t>78.3</w:t>
                  </w:r>
                </w:p>
              </w:tc>
              <w:tc>
                <w:tcPr>
                  <w:tcW w:w="942" w:type="dxa"/>
                  <w:vAlign w:val="center"/>
                </w:tcPr>
                <w:p>
                  <w:pPr>
                    <w:adjustRightInd w:val="0"/>
                    <w:snapToGrid w:val="0"/>
                    <w:jc w:val="center"/>
                    <w:rPr>
                      <w:bCs/>
                      <w:szCs w:val="21"/>
                    </w:rPr>
                  </w:pPr>
                  <w:r>
                    <w:rPr>
                      <w:rFonts w:hint="eastAsia"/>
                      <w:bCs/>
                      <w:szCs w:val="21"/>
                    </w:rPr>
                    <w:t>73.4</w:t>
                  </w:r>
                </w:p>
              </w:tc>
              <w:tc>
                <w:tcPr>
                  <w:tcW w:w="726" w:type="dxa"/>
                  <w:vAlign w:val="center"/>
                </w:tcPr>
                <w:p>
                  <w:pPr>
                    <w:adjustRightInd w:val="0"/>
                    <w:snapToGrid w:val="0"/>
                    <w:jc w:val="center"/>
                    <w:rPr>
                      <w:bCs/>
                      <w:szCs w:val="21"/>
                    </w:rPr>
                  </w:pPr>
                  <w:r>
                    <w:rPr>
                      <w:szCs w:val="21"/>
                      <w:lang w:bidi="ar"/>
                    </w:rPr>
                    <w:t>—</w:t>
                  </w:r>
                </w:p>
              </w:tc>
              <w:tc>
                <w:tcPr>
                  <w:tcW w:w="1157" w:type="dxa"/>
                  <w:vMerge w:val="restart"/>
                  <w:vAlign w:val="center"/>
                </w:tcPr>
                <w:p>
                  <w:pPr>
                    <w:adjustRightInd w:val="0"/>
                    <w:snapToGrid w:val="0"/>
                    <w:jc w:val="center"/>
                    <w:rPr>
                      <w:bCs/>
                      <w:szCs w:val="21"/>
                    </w:rPr>
                  </w:pPr>
                  <w:r>
                    <w:rPr>
                      <w:rFonts w:hint="eastAsia"/>
                      <w:bCs/>
                      <w:szCs w:val="21"/>
                    </w:rPr>
                    <w:t>0.18</w:t>
                  </w:r>
                </w:p>
              </w:tc>
              <w:tc>
                <w:tcPr>
                  <w:tcW w:w="1109" w:type="dxa"/>
                  <w:vMerge w:val="restart"/>
                  <w:vAlign w:val="center"/>
                </w:tcPr>
                <w:p>
                  <w:pPr>
                    <w:adjustRightInd w:val="0"/>
                    <w:snapToGrid w:val="0"/>
                    <w:jc w:val="center"/>
                    <w:rPr>
                      <w:bCs/>
                      <w:szCs w:val="21"/>
                    </w:rPr>
                  </w:pPr>
                  <w:r>
                    <w:rPr>
                      <w:rFonts w:hint="eastAsia"/>
                      <w:bCs/>
                      <w:szCs w:val="21"/>
                    </w:rPr>
                    <w:t>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折算浓度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rFonts w:hint="eastAsia"/>
                      <w:bCs/>
                      <w:szCs w:val="21"/>
                    </w:rPr>
                    <w:t>742.6</w:t>
                  </w:r>
                </w:p>
              </w:tc>
              <w:tc>
                <w:tcPr>
                  <w:tcW w:w="942" w:type="dxa"/>
                  <w:vAlign w:val="center"/>
                </w:tcPr>
                <w:p>
                  <w:pPr>
                    <w:adjustRightInd w:val="0"/>
                    <w:snapToGrid w:val="0"/>
                    <w:jc w:val="center"/>
                    <w:rPr>
                      <w:bCs/>
                      <w:szCs w:val="21"/>
                    </w:rPr>
                  </w:pPr>
                  <w:r>
                    <w:rPr>
                      <w:rFonts w:hint="eastAsia"/>
                      <w:bCs/>
                      <w:szCs w:val="21"/>
                    </w:rPr>
                    <w:t>689.7</w:t>
                  </w:r>
                </w:p>
              </w:tc>
              <w:tc>
                <w:tcPr>
                  <w:tcW w:w="942" w:type="dxa"/>
                  <w:vAlign w:val="center"/>
                </w:tcPr>
                <w:p>
                  <w:pPr>
                    <w:adjustRightInd w:val="0"/>
                    <w:snapToGrid w:val="0"/>
                    <w:jc w:val="center"/>
                    <w:rPr>
                      <w:bCs/>
                      <w:szCs w:val="21"/>
                    </w:rPr>
                  </w:pPr>
                  <w:r>
                    <w:rPr>
                      <w:rFonts w:hint="eastAsia"/>
                      <w:bCs/>
                      <w:szCs w:val="21"/>
                    </w:rPr>
                    <w:t>732.4</w:t>
                  </w:r>
                </w:p>
              </w:tc>
              <w:tc>
                <w:tcPr>
                  <w:tcW w:w="942" w:type="dxa"/>
                  <w:vAlign w:val="center"/>
                </w:tcPr>
                <w:p>
                  <w:pPr>
                    <w:adjustRightInd w:val="0"/>
                    <w:snapToGrid w:val="0"/>
                    <w:jc w:val="center"/>
                    <w:rPr>
                      <w:bCs/>
                      <w:szCs w:val="21"/>
                    </w:rPr>
                  </w:pPr>
                  <w:r>
                    <w:rPr>
                      <w:rFonts w:hint="eastAsia"/>
                      <w:bCs/>
                      <w:szCs w:val="21"/>
                    </w:rPr>
                    <w:t>734.7</w:t>
                  </w:r>
                </w:p>
              </w:tc>
              <w:tc>
                <w:tcPr>
                  <w:tcW w:w="942" w:type="dxa"/>
                  <w:vAlign w:val="center"/>
                </w:tcPr>
                <w:p>
                  <w:pPr>
                    <w:adjustRightInd w:val="0"/>
                    <w:snapToGrid w:val="0"/>
                    <w:jc w:val="center"/>
                    <w:rPr>
                      <w:bCs/>
                      <w:szCs w:val="21"/>
                    </w:rPr>
                  </w:pPr>
                  <w:r>
                    <w:rPr>
                      <w:rFonts w:hint="eastAsia"/>
                      <w:bCs/>
                      <w:szCs w:val="21"/>
                    </w:rPr>
                    <w:t>102.2</w:t>
                  </w:r>
                </w:p>
              </w:tc>
              <w:tc>
                <w:tcPr>
                  <w:tcW w:w="942" w:type="dxa"/>
                  <w:vAlign w:val="center"/>
                </w:tcPr>
                <w:p>
                  <w:pPr>
                    <w:adjustRightInd w:val="0"/>
                    <w:snapToGrid w:val="0"/>
                    <w:jc w:val="center"/>
                    <w:rPr>
                      <w:bCs/>
                      <w:szCs w:val="21"/>
                    </w:rPr>
                  </w:pPr>
                  <w:r>
                    <w:rPr>
                      <w:rFonts w:hint="eastAsia"/>
                      <w:bCs/>
                      <w:szCs w:val="21"/>
                    </w:rPr>
                    <w:t>100.0</w:t>
                  </w:r>
                </w:p>
              </w:tc>
              <w:tc>
                <w:tcPr>
                  <w:tcW w:w="942" w:type="dxa"/>
                  <w:vAlign w:val="center"/>
                </w:tcPr>
                <w:p>
                  <w:pPr>
                    <w:adjustRightInd w:val="0"/>
                    <w:snapToGrid w:val="0"/>
                    <w:jc w:val="center"/>
                    <w:rPr>
                      <w:bCs/>
                      <w:szCs w:val="21"/>
                    </w:rPr>
                  </w:pPr>
                  <w:r>
                    <w:rPr>
                      <w:rFonts w:hint="eastAsia"/>
                      <w:bCs/>
                      <w:szCs w:val="21"/>
                    </w:rPr>
                    <w:t>117.4</w:t>
                  </w:r>
                </w:p>
              </w:tc>
              <w:tc>
                <w:tcPr>
                  <w:tcW w:w="942" w:type="dxa"/>
                  <w:vAlign w:val="center"/>
                </w:tcPr>
                <w:p>
                  <w:pPr>
                    <w:adjustRightInd w:val="0"/>
                    <w:snapToGrid w:val="0"/>
                    <w:jc w:val="center"/>
                    <w:rPr>
                      <w:bCs/>
                      <w:szCs w:val="21"/>
                    </w:rPr>
                  </w:pPr>
                  <w:r>
                    <w:rPr>
                      <w:rFonts w:hint="eastAsia"/>
                      <w:bCs/>
                      <w:szCs w:val="21"/>
                    </w:rPr>
                    <w:t>106.5</w:t>
                  </w:r>
                </w:p>
              </w:tc>
              <w:tc>
                <w:tcPr>
                  <w:tcW w:w="726" w:type="dxa"/>
                  <w:vAlign w:val="center"/>
                </w:tcPr>
                <w:p>
                  <w:pPr>
                    <w:adjustRightInd w:val="0"/>
                    <w:snapToGrid w:val="0"/>
                    <w:jc w:val="center"/>
                    <w:rPr>
                      <w:bCs/>
                      <w:szCs w:val="21"/>
                    </w:rPr>
                  </w:pPr>
                  <w:r>
                    <w:rPr>
                      <w:rFonts w:hint="eastAsia"/>
                      <w:bCs/>
                      <w:szCs w:val="21"/>
                    </w:rPr>
                    <w:t>300</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排放速率</w:t>
                  </w:r>
                  <w:r>
                    <w:rPr>
                      <w:szCs w:val="21"/>
                      <w:lang w:bidi="ar"/>
                    </w:rPr>
                    <w:t>(Kg/h)</w:t>
                  </w:r>
                </w:p>
              </w:tc>
              <w:tc>
                <w:tcPr>
                  <w:tcW w:w="1046" w:type="dxa"/>
                  <w:vAlign w:val="center"/>
                </w:tcPr>
                <w:p>
                  <w:pPr>
                    <w:adjustRightInd w:val="0"/>
                    <w:snapToGrid w:val="0"/>
                    <w:jc w:val="center"/>
                    <w:rPr>
                      <w:bCs/>
                      <w:szCs w:val="21"/>
                    </w:rPr>
                  </w:pPr>
                  <w:r>
                    <w:rPr>
                      <w:rFonts w:hint="eastAsia"/>
                      <w:bCs/>
                      <w:szCs w:val="21"/>
                    </w:rPr>
                    <w:t>0.532</w:t>
                  </w:r>
                </w:p>
              </w:tc>
              <w:tc>
                <w:tcPr>
                  <w:tcW w:w="942" w:type="dxa"/>
                  <w:vAlign w:val="center"/>
                </w:tcPr>
                <w:p>
                  <w:pPr>
                    <w:adjustRightInd w:val="0"/>
                    <w:snapToGrid w:val="0"/>
                    <w:jc w:val="center"/>
                    <w:rPr>
                      <w:bCs/>
                      <w:szCs w:val="21"/>
                    </w:rPr>
                  </w:pPr>
                  <w:r>
                    <w:rPr>
                      <w:rFonts w:hint="eastAsia"/>
                      <w:bCs/>
                      <w:szCs w:val="21"/>
                    </w:rPr>
                    <w:t>0.531</w:t>
                  </w:r>
                </w:p>
              </w:tc>
              <w:tc>
                <w:tcPr>
                  <w:tcW w:w="942" w:type="dxa"/>
                  <w:vAlign w:val="center"/>
                </w:tcPr>
                <w:p>
                  <w:pPr>
                    <w:adjustRightInd w:val="0"/>
                    <w:snapToGrid w:val="0"/>
                    <w:jc w:val="center"/>
                    <w:rPr>
                      <w:bCs/>
                      <w:szCs w:val="21"/>
                    </w:rPr>
                  </w:pPr>
                  <w:r>
                    <w:rPr>
                      <w:rFonts w:hint="eastAsia"/>
                      <w:bCs/>
                      <w:szCs w:val="21"/>
                    </w:rPr>
                    <w:t>0.517</w:t>
                  </w:r>
                </w:p>
              </w:tc>
              <w:tc>
                <w:tcPr>
                  <w:tcW w:w="942" w:type="dxa"/>
                  <w:vAlign w:val="center"/>
                </w:tcPr>
                <w:p>
                  <w:pPr>
                    <w:adjustRightInd w:val="0"/>
                    <w:snapToGrid w:val="0"/>
                    <w:jc w:val="center"/>
                    <w:rPr>
                      <w:bCs/>
                      <w:szCs w:val="21"/>
                    </w:rPr>
                  </w:pPr>
                  <w:r>
                    <w:rPr>
                      <w:rFonts w:hint="eastAsia"/>
                      <w:bCs/>
                      <w:szCs w:val="21"/>
                    </w:rPr>
                    <w:t>0.527</w:t>
                  </w:r>
                </w:p>
              </w:tc>
              <w:tc>
                <w:tcPr>
                  <w:tcW w:w="942" w:type="dxa"/>
                  <w:vAlign w:val="center"/>
                </w:tcPr>
                <w:p>
                  <w:pPr>
                    <w:adjustRightInd w:val="0"/>
                    <w:snapToGrid w:val="0"/>
                    <w:jc w:val="center"/>
                    <w:rPr>
                      <w:bCs/>
                      <w:szCs w:val="21"/>
                    </w:rPr>
                  </w:pPr>
                  <w:r>
                    <w:rPr>
                      <w:rFonts w:hint="eastAsia"/>
                      <w:bCs/>
                      <w:szCs w:val="21"/>
                    </w:rPr>
                    <w:t>0.077</w:t>
                  </w:r>
                </w:p>
              </w:tc>
              <w:tc>
                <w:tcPr>
                  <w:tcW w:w="942" w:type="dxa"/>
                  <w:vAlign w:val="center"/>
                </w:tcPr>
                <w:p>
                  <w:pPr>
                    <w:adjustRightInd w:val="0"/>
                    <w:snapToGrid w:val="0"/>
                    <w:jc w:val="center"/>
                    <w:rPr>
                      <w:bCs/>
                      <w:szCs w:val="21"/>
                    </w:rPr>
                  </w:pPr>
                  <w:r>
                    <w:rPr>
                      <w:rFonts w:hint="eastAsia"/>
                      <w:bCs/>
                      <w:szCs w:val="21"/>
                    </w:rPr>
                    <w:t>0.073</w:t>
                  </w:r>
                </w:p>
              </w:tc>
              <w:tc>
                <w:tcPr>
                  <w:tcW w:w="942" w:type="dxa"/>
                  <w:vAlign w:val="center"/>
                </w:tcPr>
                <w:p>
                  <w:pPr>
                    <w:adjustRightInd w:val="0"/>
                    <w:snapToGrid w:val="0"/>
                    <w:jc w:val="center"/>
                    <w:rPr>
                      <w:bCs/>
                      <w:szCs w:val="21"/>
                    </w:rPr>
                  </w:pPr>
                  <w:r>
                    <w:rPr>
                      <w:rFonts w:hint="eastAsia"/>
                      <w:bCs/>
                      <w:szCs w:val="21"/>
                    </w:rPr>
                    <w:t>0.082</w:t>
                  </w:r>
                </w:p>
              </w:tc>
              <w:tc>
                <w:tcPr>
                  <w:tcW w:w="942" w:type="dxa"/>
                  <w:vAlign w:val="center"/>
                </w:tcPr>
                <w:p>
                  <w:pPr>
                    <w:adjustRightInd w:val="0"/>
                    <w:snapToGrid w:val="0"/>
                    <w:jc w:val="center"/>
                    <w:rPr>
                      <w:bCs/>
                      <w:szCs w:val="21"/>
                    </w:rPr>
                  </w:pPr>
                  <w:r>
                    <w:rPr>
                      <w:rFonts w:hint="eastAsia"/>
                      <w:bCs/>
                      <w:szCs w:val="21"/>
                    </w:rPr>
                    <w:t>0.077</w:t>
                  </w:r>
                </w:p>
              </w:tc>
              <w:tc>
                <w:tcPr>
                  <w:tcW w:w="726" w:type="dxa"/>
                  <w:vAlign w:val="center"/>
                </w:tcPr>
                <w:p>
                  <w:pPr>
                    <w:adjustRightInd w:val="0"/>
                    <w:snapToGrid w:val="0"/>
                    <w:jc w:val="center"/>
                    <w:rPr>
                      <w:bCs/>
                      <w:szCs w:val="21"/>
                    </w:rPr>
                  </w:pPr>
                  <w:r>
                    <w:rPr>
                      <w:szCs w:val="21"/>
                      <w:lang w:bidi="ar"/>
                    </w:rPr>
                    <w:t>—</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bl>
          <w:p>
            <w:pPr>
              <w:spacing w:line="360" w:lineRule="auto"/>
              <w:jc w:val="center"/>
              <w:rPr>
                <w:b/>
                <w:bCs/>
                <w:szCs w:val="21"/>
              </w:rPr>
            </w:pPr>
          </w:p>
          <w:p>
            <w:pPr>
              <w:spacing w:line="360" w:lineRule="auto"/>
              <w:jc w:val="center"/>
              <w:rPr>
                <w:b/>
                <w:bCs/>
                <w:szCs w:val="21"/>
              </w:rPr>
            </w:pPr>
            <w:r>
              <w:rPr>
                <w:b/>
                <w:bCs/>
                <w:szCs w:val="21"/>
              </w:rPr>
              <w:t>表</w:t>
            </w:r>
            <w:r>
              <w:rPr>
                <w:rFonts w:hint="eastAsia"/>
                <w:b/>
                <w:bCs/>
                <w:szCs w:val="21"/>
              </w:rPr>
              <w:t>31</w:t>
            </w:r>
            <w:r>
              <w:rPr>
                <w:b/>
                <w:bCs/>
                <w:szCs w:val="21"/>
              </w:rPr>
              <w:t xml:space="preserve">  </w:t>
            </w:r>
            <w:r>
              <w:rPr>
                <w:rFonts w:hint="eastAsia"/>
                <w:b/>
                <w:bCs/>
                <w:szCs w:val="21"/>
              </w:rPr>
              <w:t>定襄县永巨锻造有限公司脱硝设施</w:t>
            </w:r>
            <w:r>
              <w:rPr>
                <w:b/>
                <w:bCs/>
                <w:szCs w:val="21"/>
              </w:rPr>
              <w:t>进出口污染物监测结果</w:t>
            </w:r>
            <w:r>
              <w:rPr>
                <w:rFonts w:hint="eastAsia"/>
                <w:b/>
                <w:bCs/>
                <w:szCs w:val="21"/>
              </w:rPr>
              <w:t>（2020.12.12）</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84"/>
              <w:gridCol w:w="1638"/>
              <w:gridCol w:w="1046"/>
              <w:gridCol w:w="942"/>
              <w:gridCol w:w="942"/>
              <w:gridCol w:w="942"/>
              <w:gridCol w:w="942"/>
              <w:gridCol w:w="942"/>
              <w:gridCol w:w="942"/>
              <w:gridCol w:w="942"/>
              <w:gridCol w:w="726"/>
              <w:gridCol w:w="1157"/>
              <w:gridCol w:w="11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监测日期</w:t>
                  </w:r>
                </w:p>
              </w:tc>
              <w:tc>
                <w:tcPr>
                  <w:tcW w:w="10632" w:type="dxa"/>
                  <w:gridSpan w:val="11"/>
                  <w:vAlign w:val="center"/>
                </w:tcPr>
                <w:p>
                  <w:pPr>
                    <w:adjustRightInd w:val="0"/>
                    <w:snapToGrid w:val="0"/>
                    <w:jc w:val="center"/>
                    <w:rPr>
                      <w:bCs/>
                      <w:szCs w:val="21"/>
                    </w:rPr>
                  </w:pPr>
                  <w:r>
                    <w:rPr>
                      <w:rFonts w:hint="eastAsia"/>
                      <w:bCs/>
                      <w:szCs w:val="21"/>
                    </w:rPr>
                    <w:t>2020年12月12日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监测点位</w:t>
                  </w:r>
                </w:p>
              </w:tc>
              <w:tc>
                <w:tcPr>
                  <w:tcW w:w="3872" w:type="dxa"/>
                  <w:gridSpan w:val="4"/>
                  <w:vAlign w:val="center"/>
                </w:tcPr>
                <w:p>
                  <w:pPr>
                    <w:adjustRightInd w:val="0"/>
                    <w:snapToGrid w:val="0"/>
                    <w:jc w:val="center"/>
                    <w:rPr>
                      <w:bCs/>
                      <w:szCs w:val="21"/>
                    </w:rPr>
                  </w:pPr>
                  <w:r>
                    <w:rPr>
                      <w:bCs/>
                      <w:szCs w:val="21"/>
                    </w:rPr>
                    <w:t>脱硝塔进口</w:t>
                  </w:r>
                </w:p>
              </w:tc>
              <w:tc>
                <w:tcPr>
                  <w:tcW w:w="3768" w:type="dxa"/>
                  <w:gridSpan w:val="4"/>
                  <w:vAlign w:val="center"/>
                </w:tcPr>
                <w:p>
                  <w:pPr>
                    <w:adjustRightInd w:val="0"/>
                    <w:snapToGrid w:val="0"/>
                    <w:jc w:val="center"/>
                    <w:rPr>
                      <w:bCs/>
                      <w:szCs w:val="21"/>
                    </w:rPr>
                  </w:pPr>
                  <w:r>
                    <w:rPr>
                      <w:bCs/>
                      <w:szCs w:val="21"/>
                    </w:rPr>
                    <w:t>脱硝塔出口</w:t>
                  </w:r>
                </w:p>
              </w:tc>
              <w:tc>
                <w:tcPr>
                  <w:tcW w:w="726" w:type="dxa"/>
                  <w:vMerge w:val="restart"/>
                  <w:vAlign w:val="center"/>
                </w:tcPr>
                <w:p>
                  <w:pPr>
                    <w:adjustRightInd w:val="0"/>
                    <w:snapToGrid w:val="0"/>
                    <w:jc w:val="center"/>
                    <w:rPr>
                      <w:bCs/>
                      <w:szCs w:val="21"/>
                    </w:rPr>
                  </w:pPr>
                  <w:r>
                    <w:rPr>
                      <w:bCs/>
                      <w:szCs w:val="21"/>
                    </w:rPr>
                    <w:t>标准限值</w:t>
                  </w:r>
                </w:p>
              </w:tc>
              <w:tc>
                <w:tcPr>
                  <w:tcW w:w="1157" w:type="dxa"/>
                  <w:vMerge w:val="restart"/>
                  <w:vAlign w:val="center"/>
                </w:tcPr>
                <w:p>
                  <w:pPr>
                    <w:adjustRightInd w:val="0"/>
                    <w:snapToGrid w:val="0"/>
                    <w:jc w:val="center"/>
                    <w:rPr>
                      <w:bCs/>
                      <w:szCs w:val="21"/>
                    </w:rPr>
                  </w:pPr>
                  <w:r>
                    <w:rPr>
                      <w:bCs/>
                      <w:szCs w:val="21"/>
                    </w:rPr>
                    <w:t>总量</w:t>
                  </w:r>
                  <w:r>
                    <w:rPr>
                      <w:rFonts w:hint="eastAsia"/>
                      <w:bCs/>
                      <w:szCs w:val="21"/>
                    </w:rPr>
                    <w:t>（t/a）</w:t>
                  </w:r>
                </w:p>
              </w:tc>
              <w:tc>
                <w:tcPr>
                  <w:tcW w:w="1109" w:type="dxa"/>
                  <w:vMerge w:val="restart"/>
                  <w:vAlign w:val="center"/>
                </w:tcPr>
                <w:p>
                  <w:pPr>
                    <w:adjustRightInd w:val="0"/>
                    <w:snapToGrid w:val="0"/>
                    <w:jc w:val="center"/>
                    <w:rPr>
                      <w:bCs/>
                      <w:szCs w:val="21"/>
                    </w:rPr>
                  </w:pPr>
                  <w:r>
                    <w:rPr>
                      <w:bCs/>
                      <w:szCs w:val="21"/>
                    </w:rPr>
                    <w:t>脱硝率</w:t>
                  </w:r>
                  <w:r>
                    <w:rPr>
                      <w:rFonts w:hint="eastAsia"/>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监测次数</w:t>
                  </w:r>
                </w:p>
              </w:tc>
              <w:tc>
                <w:tcPr>
                  <w:tcW w:w="1046" w:type="dxa"/>
                  <w:vAlign w:val="center"/>
                </w:tcPr>
                <w:p>
                  <w:pPr>
                    <w:adjustRightInd w:val="0"/>
                    <w:snapToGrid w:val="0"/>
                    <w:jc w:val="center"/>
                    <w:rPr>
                      <w:bCs/>
                      <w:szCs w:val="21"/>
                    </w:rPr>
                  </w:pPr>
                  <w:r>
                    <w:rPr>
                      <w:rFonts w:hint="eastAsia"/>
                      <w:bCs/>
                      <w:szCs w:val="21"/>
                    </w:rPr>
                    <w:t>1</w:t>
                  </w:r>
                </w:p>
              </w:tc>
              <w:tc>
                <w:tcPr>
                  <w:tcW w:w="942" w:type="dxa"/>
                  <w:vAlign w:val="center"/>
                </w:tcPr>
                <w:p>
                  <w:pPr>
                    <w:adjustRightInd w:val="0"/>
                    <w:snapToGrid w:val="0"/>
                    <w:jc w:val="center"/>
                    <w:rPr>
                      <w:bCs/>
                      <w:szCs w:val="21"/>
                    </w:rPr>
                  </w:pPr>
                  <w:r>
                    <w:rPr>
                      <w:rFonts w:hint="eastAsia"/>
                      <w:bCs/>
                      <w:szCs w:val="21"/>
                    </w:rPr>
                    <w:t>2</w:t>
                  </w:r>
                </w:p>
              </w:tc>
              <w:tc>
                <w:tcPr>
                  <w:tcW w:w="942" w:type="dxa"/>
                  <w:vAlign w:val="center"/>
                </w:tcPr>
                <w:p>
                  <w:pPr>
                    <w:adjustRightInd w:val="0"/>
                    <w:snapToGrid w:val="0"/>
                    <w:jc w:val="center"/>
                    <w:rPr>
                      <w:bCs/>
                      <w:szCs w:val="21"/>
                    </w:rPr>
                  </w:pPr>
                  <w:r>
                    <w:rPr>
                      <w:rFonts w:hint="eastAsia"/>
                      <w:bCs/>
                      <w:szCs w:val="21"/>
                    </w:rPr>
                    <w:t>3</w:t>
                  </w:r>
                </w:p>
              </w:tc>
              <w:tc>
                <w:tcPr>
                  <w:tcW w:w="942" w:type="dxa"/>
                  <w:vAlign w:val="center"/>
                </w:tcPr>
                <w:p>
                  <w:pPr>
                    <w:adjustRightInd w:val="0"/>
                    <w:snapToGrid w:val="0"/>
                    <w:jc w:val="center"/>
                    <w:rPr>
                      <w:bCs/>
                      <w:szCs w:val="21"/>
                    </w:rPr>
                  </w:pPr>
                  <w:r>
                    <w:rPr>
                      <w:bCs/>
                      <w:szCs w:val="21"/>
                    </w:rPr>
                    <w:t>平均值</w:t>
                  </w:r>
                </w:p>
              </w:tc>
              <w:tc>
                <w:tcPr>
                  <w:tcW w:w="942" w:type="dxa"/>
                  <w:vAlign w:val="center"/>
                </w:tcPr>
                <w:p>
                  <w:pPr>
                    <w:adjustRightInd w:val="0"/>
                    <w:snapToGrid w:val="0"/>
                    <w:jc w:val="center"/>
                    <w:rPr>
                      <w:bCs/>
                      <w:szCs w:val="21"/>
                    </w:rPr>
                  </w:pPr>
                  <w:r>
                    <w:rPr>
                      <w:rFonts w:hint="eastAsia"/>
                      <w:bCs/>
                      <w:szCs w:val="21"/>
                    </w:rPr>
                    <w:t>1</w:t>
                  </w:r>
                </w:p>
              </w:tc>
              <w:tc>
                <w:tcPr>
                  <w:tcW w:w="942" w:type="dxa"/>
                  <w:vAlign w:val="center"/>
                </w:tcPr>
                <w:p>
                  <w:pPr>
                    <w:adjustRightInd w:val="0"/>
                    <w:snapToGrid w:val="0"/>
                    <w:jc w:val="center"/>
                    <w:rPr>
                      <w:bCs/>
                      <w:szCs w:val="21"/>
                    </w:rPr>
                  </w:pPr>
                  <w:r>
                    <w:rPr>
                      <w:rFonts w:hint="eastAsia"/>
                      <w:bCs/>
                      <w:szCs w:val="21"/>
                    </w:rPr>
                    <w:t>2</w:t>
                  </w:r>
                </w:p>
              </w:tc>
              <w:tc>
                <w:tcPr>
                  <w:tcW w:w="942" w:type="dxa"/>
                  <w:vAlign w:val="center"/>
                </w:tcPr>
                <w:p>
                  <w:pPr>
                    <w:adjustRightInd w:val="0"/>
                    <w:snapToGrid w:val="0"/>
                    <w:jc w:val="center"/>
                    <w:rPr>
                      <w:bCs/>
                      <w:szCs w:val="21"/>
                    </w:rPr>
                  </w:pPr>
                  <w:r>
                    <w:rPr>
                      <w:rFonts w:hint="eastAsia"/>
                      <w:bCs/>
                      <w:szCs w:val="21"/>
                    </w:rPr>
                    <w:t>3</w:t>
                  </w:r>
                </w:p>
              </w:tc>
              <w:tc>
                <w:tcPr>
                  <w:tcW w:w="942" w:type="dxa"/>
                  <w:vAlign w:val="center"/>
                </w:tcPr>
                <w:p>
                  <w:pPr>
                    <w:adjustRightInd w:val="0"/>
                    <w:snapToGrid w:val="0"/>
                    <w:jc w:val="center"/>
                    <w:rPr>
                      <w:bCs/>
                      <w:szCs w:val="21"/>
                    </w:rPr>
                  </w:pPr>
                  <w:r>
                    <w:rPr>
                      <w:bCs/>
                      <w:szCs w:val="21"/>
                    </w:rPr>
                    <w:t>平均值</w:t>
                  </w:r>
                </w:p>
              </w:tc>
              <w:tc>
                <w:tcPr>
                  <w:tcW w:w="726" w:type="dxa"/>
                  <w:vMerge w:val="continue"/>
                  <w:vAlign w:val="center"/>
                </w:tcPr>
                <w:p>
                  <w:pPr>
                    <w:adjustRightInd w:val="0"/>
                    <w:snapToGrid w:val="0"/>
                    <w:jc w:val="center"/>
                    <w:rPr>
                      <w:bCs/>
                      <w:szCs w:val="21"/>
                    </w:rPr>
                  </w:pP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含氧量</w:t>
                  </w:r>
                  <w:r>
                    <w:rPr>
                      <w:rFonts w:hint="eastAsia"/>
                      <w:bCs/>
                      <w:szCs w:val="21"/>
                    </w:rPr>
                    <w:t>（%）</w:t>
                  </w:r>
                </w:p>
              </w:tc>
              <w:tc>
                <w:tcPr>
                  <w:tcW w:w="1046" w:type="dxa"/>
                  <w:vAlign w:val="center"/>
                </w:tcPr>
                <w:p>
                  <w:pPr>
                    <w:adjustRightInd w:val="0"/>
                    <w:snapToGrid w:val="0"/>
                    <w:jc w:val="center"/>
                    <w:rPr>
                      <w:bCs/>
                      <w:szCs w:val="21"/>
                    </w:rPr>
                  </w:pPr>
                  <w:r>
                    <w:rPr>
                      <w:rFonts w:hint="eastAsia"/>
                      <w:bCs/>
                      <w:szCs w:val="21"/>
                    </w:rPr>
                    <w:t>12.28</w:t>
                  </w:r>
                </w:p>
              </w:tc>
              <w:tc>
                <w:tcPr>
                  <w:tcW w:w="942" w:type="dxa"/>
                  <w:vAlign w:val="center"/>
                </w:tcPr>
                <w:p>
                  <w:pPr>
                    <w:adjustRightInd w:val="0"/>
                    <w:snapToGrid w:val="0"/>
                    <w:jc w:val="center"/>
                    <w:rPr>
                      <w:bCs/>
                      <w:szCs w:val="21"/>
                    </w:rPr>
                  </w:pPr>
                  <w:r>
                    <w:rPr>
                      <w:rFonts w:hint="eastAsia"/>
                      <w:bCs/>
                      <w:szCs w:val="21"/>
                    </w:rPr>
                    <w:t>12.66</w:t>
                  </w:r>
                </w:p>
              </w:tc>
              <w:tc>
                <w:tcPr>
                  <w:tcW w:w="942" w:type="dxa"/>
                  <w:vAlign w:val="center"/>
                </w:tcPr>
                <w:p>
                  <w:pPr>
                    <w:adjustRightInd w:val="0"/>
                    <w:snapToGrid w:val="0"/>
                    <w:jc w:val="center"/>
                    <w:rPr>
                      <w:bCs/>
                      <w:szCs w:val="21"/>
                    </w:rPr>
                  </w:pPr>
                  <w:r>
                    <w:rPr>
                      <w:rFonts w:hint="eastAsia"/>
                      <w:bCs/>
                      <w:szCs w:val="21"/>
                    </w:rPr>
                    <w:t>12.86</w:t>
                  </w:r>
                </w:p>
              </w:tc>
              <w:tc>
                <w:tcPr>
                  <w:tcW w:w="942" w:type="dxa"/>
                  <w:vAlign w:val="center"/>
                </w:tcPr>
                <w:p>
                  <w:pPr>
                    <w:adjustRightInd w:val="0"/>
                    <w:snapToGrid w:val="0"/>
                    <w:jc w:val="center"/>
                    <w:rPr>
                      <w:bCs/>
                      <w:szCs w:val="21"/>
                    </w:rPr>
                  </w:pPr>
                  <w:r>
                    <w:rPr>
                      <w:rFonts w:hint="eastAsia"/>
                      <w:bCs/>
                      <w:szCs w:val="21"/>
                    </w:rPr>
                    <w:t>12.60</w:t>
                  </w:r>
                </w:p>
              </w:tc>
              <w:tc>
                <w:tcPr>
                  <w:tcW w:w="942" w:type="dxa"/>
                  <w:vAlign w:val="center"/>
                </w:tcPr>
                <w:p>
                  <w:pPr>
                    <w:adjustRightInd w:val="0"/>
                    <w:snapToGrid w:val="0"/>
                    <w:jc w:val="center"/>
                    <w:rPr>
                      <w:bCs/>
                      <w:szCs w:val="21"/>
                    </w:rPr>
                  </w:pPr>
                  <w:r>
                    <w:rPr>
                      <w:rFonts w:hint="eastAsia"/>
                      <w:bCs/>
                      <w:szCs w:val="21"/>
                    </w:rPr>
                    <w:t>12.26</w:t>
                  </w:r>
                </w:p>
              </w:tc>
              <w:tc>
                <w:tcPr>
                  <w:tcW w:w="942" w:type="dxa"/>
                  <w:vAlign w:val="center"/>
                </w:tcPr>
                <w:p>
                  <w:pPr>
                    <w:adjustRightInd w:val="0"/>
                    <w:snapToGrid w:val="0"/>
                    <w:jc w:val="center"/>
                    <w:rPr>
                      <w:bCs/>
                      <w:szCs w:val="21"/>
                    </w:rPr>
                  </w:pPr>
                  <w:r>
                    <w:rPr>
                      <w:rFonts w:hint="eastAsia"/>
                      <w:bCs/>
                      <w:szCs w:val="21"/>
                    </w:rPr>
                    <w:t>12.52</w:t>
                  </w:r>
                </w:p>
              </w:tc>
              <w:tc>
                <w:tcPr>
                  <w:tcW w:w="942" w:type="dxa"/>
                  <w:vAlign w:val="center"/>
                </w:tcPr>
                <w:p>
                  <w:pPr>
                    <w:adjustRightInd w:val="0"/>
                    <w:snapToGrid w:val="0"/>
                    <w:jc w:val="center"/>
                    <w:rPr>
                      <w:bCs/>
                      <w:szCs w:val="21"/>
                    </w:rPr>
                  </w:pPr>
                  <w:r>
                    <w:rPr>
                      <w:rFonts w:hint="eastAsia"/>
                      <w:bCs/>
                      <w:szCs w:val="21"/>
                    </w:rPr>
                    <w:t>12.32</w:t>
                  </w:r>
                </w:p>
              </w:tc>
              <w:tc>
                <w:tcPr>
                  <w:tcW w:w="942" w:type="dxa"/>
                  <w:vAlign w:val="center"/>
                </w:tcPr>
                <w:p>
                  <w:pPr>
                    <w:adjustRightInd w:val="0"/>
                    <w:snapToGrid w:val="0"/>
                    <w:jc w:val="center"/>
                    <w:rPr>
                      <w:bCs/>
                      <w:szCs w:val="21"/>
                    </w:rPr>
                  </w:pPr>
                  <w:r>
                    <w:rPr>
                      <w:rFonts w:hint="eastAsia"/>
                      <w:bCs/>
                      <w:szCs w:val="21"/>
                    </w:rPr>
                    <w:t>12.37</w:t>
                  </w:r>
                </w:p>
              </w:tc>
              <w:tc>
                <w:tcPr>
                  <w:tcW w:w="726" w:type="dxa"/>
                  <w:vAlign w:val="center"/>
                </w:tcPr>
                <w:p>
                  <w:pPr>
                    <w:adjustRightInd w:val="0"/>
                    <w:snapToGrid w:val="0"/>
                    <w:jc w:val="center"/>
                    <w:rPr>
                      <w:bCs/>
                      <w:szCs w:val="21"/>
                    </w:rPr>
                  </w:pPr>
                  <w:r>
                    <w:rPr>
                      <w:szCs w:val="21"/>
                      <w:lang w:bidi="ar"/>
                    </w:rPr>
                    <w:t>—</w:t>
                  </w:r>
                </w:p>
              </w:tc>
              <w:tc>
                <w:tcPr>
                  <w:tcW w:w="1157" w:type="dxa"/>
                  <w:vAlign w:val="center"/>
                </w:tcPr>
                <w:p>
                  <w:pPr>
                    <w:adjustRightInd w:val="0"/>
                    <w:snapToGrid w:val="0"/>
                    <w:jc w:val="center"/>
                    <w:rPr>
                      <w:bCs/>
                      <w:szCs w:val="21"/>
                    </w:rPr>
                  </w:pPr>
                  <w:r>
                    <w:rPr>
                      <w:szCs w:val="21"/>
                      <w:lang w:bidi="ar"/>
                    </w:rPr>
                    <w:t>—</w:t>
                  </w:r>
                </w:p>
              </w:tc>
              <w:tc>
                <w:tcPr>
                  <w:tcW w:w="1109" w:type="dxa"/>
                  <w:vAlign w:val="center"/>
                </w:tcPr>
                <w:p>
                  <w:pPr>
                    <w:adjustRightInd w:val="0"/>
                    <w:snapToGrid w:val="0"/>
                    <w:jc w:val="center"/>
                    <w:rPr>
                      <w:bCs/>
                      <w:szCs w:val="21"/>
                    </w:rPr>
                  </w:pPr>
                  <w:r>
                    <w:rPr>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222" w:type="dxa"/>
                  <w:gridSpan w:val="2"/>
                  <w:vAlign w:val="center"/>
                </w:tcPr>
                <w:p>
                  <w:pPr>
                    <w:adjustRightInd w:val="0"/>
                    <w:snapToGrid w:val="0"/>
                    <w:jc w:val="center"/>
                    <w:rPr>
                      <w:bCs/>
                      <w:szCs w:val="21"/>
                    </w:rPr>
                  </w:pPr>
                  <w:r>
                    <w:rPr>
                      <w:bCs/>
                      <w:szCs w:val="21"/>
                    </w:rPr>
                    <w:t>标干排气量</w:t>
                  </w:r>
                  <w:r>
                    <w:rPr>
                      <w:rFonts w:hint="eastAsia"/>
                      <w:bCs/>
                      <w:szCs w:val="21"/>
                    </w:rPr>
                    <w:t>（m</w:t>
                  </w:r>
                  <w:r>
                    <w:rPr>
                      <w:rFonts w:hint="eastAsia"/>
                      <w:bCs/>
                      <w:szCs w:val="21"/>
                      <w:vertAlign w:val="superscript"/>
                    </w:rPr>
                    <w:t>3</w:t>
                  </w:r>
                  <w:r>
                    <w:rPr>
                      <w:rFonts w:hint="eastAsia"/>
                      <w:bCs/>
                      <w:szCs w:val="21"/>
                    </w:rPr>
                    <w:t>/h）</w:t>
                  </w:r>
                </w:p>
              </w:tc>
              <w:tc>
                <w:tcPr>
                  <w:tcW w:w="1046" w:type="dxa"/>
                  <w:vAlign w:val="center"/>
                </w:tcPr>
                <w:p>
                  <w:pPr>
                    <w:adjustRightInd w:val="0"/>
                    <w:snapToGrid w:val="0"/>
                    <w:jc w:val="center"/>
                    <w:rPr>
                      <w:bCs/>
                      <w:szCs w:val="21"/>
                    </w:rPr>
                  </w:pPr>
                  <w:r>
                    <w:rPr>
                      <w:rFonts w:hint="eastAsia"/>
                      <w:bCs/>
                      <w:szCs w:val="21"/>
                    </w:rPr>
                    <w:t>1004</w:t>
                  </w:r>
                </w:p>
              </w:tc>
              <w:tc>
                <w:tcPr>
                  <w:tcW w:w="942" w:type="dxa"/>
                  <w:vAlign w:val="center"/>
                </w:tcPr>
                <w:p>
                  <w:pPr>
                    <w:adjustRightInd w:val="0"/>
                    <w:snapToGrid w:val="0"/>
                    <w:jc w:val="center"/>
                    <w:rPr>
                      <w:bCs/>
                      <w:szCs w:val="21"/>
                    </w:rPr>
                  </w:pPr>
                  <w:r>
                    <w:rPr>
                      <w:rFonts w:hint="eastAsia"/>
                      <w:bCs/>
                      <w:szCs w:val="21"/>
                    </w:rPr>
                    <w:t>1014</w:t>
                  </w:r>
                </w:p>
              </w:tc>
              <w:tc>
                <w:tcPr>
                  <w:tcW w:w="942" w:type="dxa"/>
                  <w:vAlign w:val="center"/>
                </w:tcPr>
                <w:p>
                  <w:pPr>
                    <w:adjustRightInd w:val="0"/>
                    <w:snapToGrid w:val="0"/>
                    <w:jc w:val="center"/>
                    <w:rPr>
                      <w:bCs/>
                      <w:szCs w:val="21"/>
                    </w:rPr>
                  </w:pPr>
                  <w:r>
                    <w:rPr>
                      <w:rFonts w:hint="eastAsia"/>
                      <w:bCs/>
                      <w:szCs w:val="21"/>
                    </w:rPr>
                    <w:t>1034</w:t>
                  </w:r>
                </w:p>
              </w:tc>
              <w:tc>
                <w:tcPr>
                  <w:tcW w:w="942" w:type="dxa"/>
                  <w:vAlign w:val="center"/>
                </w:tcPr>
                <w:p>
                  <w:pPr>
                    <w:adjustRightInd w:val="0"/>
                    <w:snapToGrid w:val="0"/>
                    <w:jc w:val="center"/>
                    <w:rPr>
                      <w:bCs/>
                      <w:szCs w:val="21"/>
                    </w:rPr>
                  </w:pPr>
                  <w:r>
                    <w:rPr>
                      <w:rFonts w:hint="eastAsia"/>
                      <w:bCs/>
                      <w:szCs w:val="21"/>
                    </w:rPr>
                    <w:t>1017</w:t>
                  </w:r>
                </w:p>
              </w:tc>
              <w:tc>
                <w:tcPr>
                  <w:tcW w:w="942" w:type="dxa"/>
                  <w:vAlign w:val="center"/>
                </w:tcPr>
                <w:p>
                  <w:pPr>
                    <w:adjustRightInd w:val="0"/>
                    <w:snapToGrid w:val="0"/>
                    <w:jc w:val="center"/>
                    <w:rPr>
                      <w:bCs/>
                      <w:szCs w:val="21"/>
                    </w:rPr>
                  </w:pPr>
                  <w:r>
                    <w:rPr>
                      <w:rFonts w:hint="eastAsia"/>
                      <w:bCs/>
                      <w:szCs w:val="21"/>
                    </w:rPr>
                    <w:t>1059</w:t>
                  </w:r>
                </w:p>
              </w:tc>
              <w:tc>
                <w:tcPr>
                  <w:tcW w:w="942" w:type="dxa"/>
                  <w:vAlign w:val="center"/>
                </w:tcPr>
                <w:p>
                  <w:pPr>
                    <w:adjustRightInd w:val="0"/>
                    <w:snapToGrid w:val="0"/>
                    <w:jc w:val="center"/>
                    <w:rPr>
                      <w:bCs/>
                      <w:szCs w:val="21"/>
                    </w:rPr>
                  </w:pPr>
                  <w:r>
                    <w:rPr>
                      <w:rFonts w:hint="eastAsia"/>
                      <w:bCs/>
                      <w:szCs w:val="21"/>
                    </w:rPr>
                    <w:t>1037</w:t>
                  </w:r>
                </w:p>
              </w:tc>
              <w:tc>
                <w:tcPr>
                  <w:tcW w:w="942" w:type="dxa"/>
                  <w:vAlign w:val="center"/>
                </w:tcPr>
                <w:p>
                  <w:pPr>
                    <w:adjustRightInd w:val="0"/>
                    <w:snapToGrid w:val="0"/>
                    <w:jc w:val="center"/>
                    <w:rPr>
                      <w:bCs/>
                      <w:szCs w:val="21"/>
                    </w:rPr>
                  </w:pPr>
                  <w:r>
                    <w:rPr>
                      <w:rFonts w:hint="eastAsia"/>
                      <w:bCs/>
                      <w:szCs w:val="21"/>
                    </w:rPr>
                    <w:t>1036</w:t>
                  </w:r>
                </w:p>
              </w:tc>
              <w:tc>
                <w:tcPr>
                  <w:tcW w:w="942" w:type="dxa"/>
                  <w:vAlign w:val="center"/>
                </w:tcPr>
                <w:p>
                  <w:pPr>
                    <w:adjustRightInd w:val="0"/>
                    <w:snapToGrid w:val="0"/>
                    <w:jc w:val="center"/>
                    <w:rPr>
                      <w:bCs/>
                      <w:szCs w:val="21"/>
                    </w:rPr>
                  </w:pPr>
                  <w:r>
                    <w:rPr>
                      <w:rFonts w:hint="eastAsia"/>
                      <w:bCs/>
                      <w:szCs w:val="21"/>
                    </w:rPr>
                    <w:t>1044</w:t>
                  </w:r>
                </w:p>
              </w:tc>
              <w:tc>
                <w:tcPr>
                  <w:tcW w:w="726" w:type="dxa"/>
                  <w:vAlign w:val="center"/>
                </w:tcPr>
                <w:p>
                  <w:pPr>
                    <w:adjustRightInd w:val="0"/>
                    <w:snapToGrid w:val="0"/>
                    <w:jc w:val="center"/>
                    <w:rPr>
                      <w:bCs/>
                      <w:szCs w:val="21"/>
                    </w:rPr>
                  </w:pPr>
                  <w:r>
                    <w:rPr>
                      <w:szCs w:val="21"/>
                      <w:lang w:bidi="ar"/>
                    </w:rPr>
                    <w:t>—</w:t>
                  </w:r>
                </w:p>
              </w:tc>
              <w:tc>
                <w:tcPr>
                  <w:tcW w:w="1157" w:type="dxa"/>
                  <w:vAlign w:val="center"/>
                </w:tcPr>
                <w:p>
                  <w:pPr>
                    <w:adjustRightInd w:val="0"/>
                    <w:snapToGrid w:val="0"/>
                    <w:jc w:val="center"/>
                    <w:rPr>
                      <w:bCs/>
                      <w:szCs w:val="21"/>
                    </w:rPr>
                  </w:pPr>
                  <w:r>
                    <w:rPr>
                      <w:szCs w:val="21"/>
                      <w:lang w:bidi="ar"/>
                    </w:rPr>
                    <w:t>—</w:t>
                  </w:r>
                </w:p>
              </w:tc>
              <w:tc>
                <w:tcPr>
                  <w:tcW w:w="1109" w:type="dxa"/>
                  <w:vAlign w:val="center"/>
                </w:tcPr>
                <w:p>
                  <w:pPr>
                    <w:adjustRightInd w:val="0"/>
                    <w:snapToGrid w:val="0"/>
                    <w:jc w:val="center"/>
                    <w:rPr>
                      <w:bCs/>
                      <w:szCs w:val="21"/>
                    </w:rPr>
                  </w:pPr>
                  <w:r>
                    <w:rPr>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restart"/>
                  <w:vAlign w:val="center"/>
                </w:tcPr>
                <w:p>
                  <w:pPr>
                    <w:adjustRightInd w:val="0"/>
                    <w:snapToGrid w:val="0"/>
                    <w:jc w:val="center"/>
                    <w:rPr>
                      <w:bCs/>
                      <w:szCs w:val="21"/>
                    </w:rPr>
                  </w:pPr>
                  <w:r>
                    <w:rPr>
                      <w:bCs/>
                      <w:szCs w:val="21"/>
                    </w:rPr>
                    <w:t>颗粒物</w:t>
                  </w:r>
                </w:p>
              </w:tc>
              <w:tc>
                <w:tcPr>
                  <w:tcW w:w="1638" w:type="dxa"/>
                  <w:vAlign w:val="center"/>
                </w:tcPr>
                <w:p>
                  <w:pPr>
                    <w:adjustRightInd w:val="0"/>
                    <w:snapToGrid w:val="0"/>
                    <w:jc w:val="center"/>
                    <w:rPr>
                      <w:bCs/>
                      <w:szCs w:val="21"/>
                    </w:rPr>
                  </w:pPr>
                  <w:r>
                    <w:rPr>
                      <w:bCs/>
                      <w:szCs w:val="21"/>
                    </w:rPr>
                    <w:t>实测浓度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rFonts w:hint="eastAsia"/>
                      <w:bCs/>
                      <w:szCs w:val="21"/>
                    </w:rPr>
                    <w:t>20.1</w:t>
                  </w:r>
                </w:p>
              </w:tc>
              <w:tc>
                <w:tcPr>
                  <w:tcW w:w="942" w:type="dxa"/>
                  <w:vAlign w:val="center"/>
                </w:tcPr>
                <w:p>
                  <w:pPr>
                    <w:adjustRightInd w:val="0"/>
                    <w:snapToGrid w:val="0"/>
                    <w:jc w:val="center"/>
                    <w:rPr>
                      <w:bCs/>
                      <w:szCs w:val="21"/>
                    </w:rPr>
                  </w:pPr>
                  <w:r>
                    <w:rPr>
                      <w:rFonts w:hint="eastAsia"/>
                      <w:bCs/>
                      <w:szCs w:val="21"/>
                    </w:rPr>
                    <w:t>20.6</w:t>
                  </w:r>
                </w:p>
              </w:tc>
              <w:tc>
                <w:tcPr>
                  <w:tcW w:w="942" w:type="dxa"/>
                  <w:vAlign w:val="center"/>
                </w:tcPr>
                <w:p>
                  <w:pPr>
                    <w:adjustRightInd w:val="0"/>
                    <w:snapToGrid w:val="0"/>
                    <w:jc w:val="center"/>
                    <w:rPr>
                      <w:bCs/>
                      <w:szCs w:val="21"/>
                    </w:rPr>
                  </w:pPr>
                  <w:r>
                    <w:rPr>
                      <w:rFonts w:hint="eastAsia"/>
                      <w:bCs/>
                      <w:szCs w:val="21"/>
                    </w:rPr>
                    <w:t>19.4</w:t>
                  </w:r>
                </w:p>
              </w:tc>
              <w:tc>
                <w:tcPr>
                  <w:tcW w:w="942" w:type="dxa"/>
                  <w:vAlign w:val="center"/>
                </w:tcPr>
                <w:p>
                  <w:pPr>
                    <w:adjustRightInd w:val="0"/>
                    <w:snapToGrid w:val="0"/>
                    <w:jc w:val="center"/>
                    <w:rPr>
                      <w:bCs/>
                      <w:szCs w:val="21"/>
                    </w:rPr>
                  </w:pPr>
                  <w:r>
                    <w:rPr>
                      <w:rFonts w:hint="eastAsia"/>
                      <w:bCs/>
                      <w:szCs w:val="21"/>
                    </w:rPr>
                    <w:t>20.0</w:t>
                  </w:r>
                </w:p>
              </w:tc>
              <w:tc>
                <w:tcPr>
                  <w:tcW w:w="942" w:type="dxa"/>
                  <w:vAlign w:val="center"/>
                </w:tcPr>
                <w:p>
                  <w:pPr>
                    <w:adjustRightInd w:val="0"/>
                    <w:snapToGrid w:val="0"/>
                    <w:jc w:val="center"/>
                    <w:rPr>
                      <w:bCs/>
                      <w:szCs w:val="21"/>
                    </w:rPr>
                  </w:pPr>
                  <w:r>
                    <w:rPr>
                      <w:rFonts w:hint="eastAsia"/>
                      <w:bCs/>
                      <w:szCs w:val="21"/>
                    </w:rPr>
                    <w:t>9.6</w:t>
                  </w:r>
                </w:p>
              </w:tc>
              <w:tc>
                <w:tcPr>
                  <w:tcW w:w="942" w:type="dxa"/>
                  <w:vAlign w:val="center"/>
                </w:tcPr>
                <w:p>
                  <w:pPr>
                    <w:adjustRightInd w:val="0"/>
                    <w:snapToGrid w:val="0"/>
                    <w:jc w:val="center"/>
                    <w:rPr>
                      <w:bCs/>
                      <w:szCs w:val="21"/>
                    </w:rPr>
                  </w:pPr>
                  <w:r>
                    <w:rPr>
                      <w:rFonts w:hint="eastAsia"/>
                      <w:bCs/>
                      <w:szCs w:val="21"/>
                    </w:rPr>
                    <w:t>10.0</w:t>
                  </w:r>
                </w:p>
              </w:tc>
              <w:tc>
                <w:tcPr>
                  <w:tcW w:w="942" w:type="dxa"/>
                  <w:vAlign w:val="center"/>
                </w:tcPr>
                <w:p>
                  <w:pPr>
                    <w:adjustRightInd w:val="0"/>
                    <w:snapToGrid w:val="0"/>
                    <w:jc w:val="center"/>
                    <w:rPr>
                      <w:bCs/>
                      <w:szCs w:val="21"/>
                    </w:rPr>
                  </w:pPr>
                  <w:r>
                    <w:rPr>
                      <w:rFonts w:hint="eastAsia"/>
                      <w:bCs/>
                      <w:szCs w:val="21"/>
                    </w:rPr>
                    <w:t>9.9</w:t>
                  </w:r>
                </w:p>
              </w:tc>
              <w:tc>
                <w:tcPr>
                  <w:tcW w:w="942" w:type="dxa"/>
                  <w:vAlign w:val="center"/>
                </w:tcPr>
                <w:p>
                  <w:pPr>
                    <w:adjustRightInd w:val="0"/>
                    <w:snapToGrid w:val="0"/>
                    <w:jc w:val="center"/>
                    <w:rPr>
                      <w:bCs/>
                      <w:szCs w:val="21"/>
                    </w:rPr>
                  </w:pPr>
                  <w:r>
                    <w:rPr>
                      <w:rFonts w:hint="eastAsia"/>
                      <w:bCs/>
                      <w:szCs w:val="21"/>
                    </w:rPr>
                    <w:t>9.8</w:t>
                  </w:r>
                </w:p>
              </w:tc>
              <w:tc>
                <w:tcPr>
                  <w:tcW w:w="726" w:type="dxa"/>
                  <w:vAlign w:val="center"/>
                </w:tcPr>
                <w:p>
                  <w:pPr>
                    <w:adjustRightInd w:val="0"/>
                    <w:snapToGrid w:val="0"/>
                    <w:jc w:val="center"/>
                    <w:rPr>
                      <w:bCs/>
                      <w:szCs w:val="21"/>
                    </w:rPr>
                  </w:pPr>
                  <w:r>
                    <w:rPr>
                      <w:szCs w:val="21"/>
                      <w:lang w:bidi="ar"/>
                    </w:rPr>
                    <w:t>—</w:t>
                  </w:r>
                </w:p>
              </w:tc>
              <w:tc>
                <w:tcPr>
                  <w:tcW w:w="1157" w:type="dxa"/>
                  <w:vMerge w:val="restart"/>
                  <w:vAlign w:val="center"/>
                </w:tcPr>
                <w:p>
                  <w:pPr>
                    <w:adjustRightInd w:val="0"/>
                    <w:snapToGrid w:val="0"/>
                    <w:jc w:val="center"/>
                    <w:rPr>
                      <w:bCs/>
                      <w:szCs w:val="21"/>
                    </w:rPr>
                  </w:pPr>
                  <w:r>
                    <w:rPr>
                      <w:rFonts w:hint="eastAsia"/>
                      <w:bCs/>
                      <w:szCs w:val="21"/>
                    </w:rPr>
                    <w:t>0.02</w:t>
                  </w:r>
                </w:p>
              </w:tc>
              <w:tc>
                <w:tcPr>
                  <w:tcW w:w="1109" w:type="dxa"/>
                  <w:vMerge w:val="restart"/>
                  <w:vAlign w:val="center"/>
                </w:tcPr>
                <w:p>
                  <w:pPr>
                    <w:adjustRightInd w:val="0"/>
                    <w:snapToGrid w:val="0"/>
                    <w:jc w:val="center"/>
                    <w:rPr>
                      <w:bCs/>
                      <w:szCs w:val="21"/>
                    </w:rPr>
                  </w:pPr>
                  <w:r>
                    <w:rPr>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折算浓度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rFonts w:hint="eastAsia"/>
                      <w:bCs/>
                      <w:szCs w:val="21"/>
                    </w:rPr>
                    <w:t>13.6</w:t>
                  </w:r>
                </w:p>
              </w:tc>
              <w:tc>
                <w:tcPr>
                  <w:tcW w:w="942" w:type="dxa"/>
                  <w:vAlign w:val="center"/>
                </w:tcPr>
                <w:p>
                  <w:pPr>
                    <w:adjustRightInd w:val="0"/>
                    <w:snapToGrid w:val="0"/>
                    <w:jc w:val="center"/>
                    <w:rPr>
                      <w:bCs/>
                      <w:szCs w:val="21"/>
                    </w:rPr>
                  </w:pPr>
                  <w:r>
                    <w:rPr>
                      <w:rFonts w:hint="eastAsia"/>
                      <w:bCs/>
                      <w:szCs w:val="21"/>
                    </w:rPr>
                    <w:t>14.6</w:t>
                  </w:r>
                </w:p>
              </w:tc>
              <w:tc>
                <w:tcPr>
                  <w:tcW w:w="942" w:type="dxa"/>
                  <w:vAlign w:val="center"/>
                </w:tcPr>
                <w:p>
                  <w:pPr>
                    <w:adjustRightInd w:val="0"/>
                    <w:snapToGrid w:val="0"/>
                    <w:jc w:val="center"/>
                    <w:rPr>
                      <w:bCs/>
                      <w:szCs w:val="21"/>
                    </w:rPr>
                  </w:pPr>
                  <w:r>
                    <w:rPr>
                      <w:rFonts w:hint="eastAsia"/>
                      <w:bCs/>
                      <w:szCs w:val="21"/>
                    </w:rPr>
                    <w:t>14.1</w:t>
                  </w:r>
                </w:p>
              </w:tc>
              <w:tc>
                <w:tcPr>
                  <w:tcW w:w="942" w:type="dxa"/>
                  <w:vAlign w:val="center"/>
                </w:tcPr>
                <w:p>
                  <w:pPr>
                    <w:adjustRightInd w:val="0"/>
                    <w:snapToGrid w:val="0"/>
                    <w:jc w:val="center"/>
                    <w:rPr>
                      <w:bCs/>
                      <w:szCs w:val="21"/>
                    </w:rPr>
                  </w:pPr>
                  <w:r>
                    <w:rPr>
                      <w:rFonts w:hint="eastAsia"/>
                      <w:bCs/>
                      <w:szCs w:val="21"/>
                    </w:rPr>
                    <w:t>14.1</w:t>
                  </w:r>
                </w:p>
              </w:tc>
              <w:tc>
                <w:tcPr>
                  <w:tcW w:w="726" w:type="dxa"/>
                  <w:vAlign w:val="center"/>
                </w:tcPr>
                <w:p>
                  <w:pPr>
                    <w:adjustRightInd w:val="0"/>
                    <w:snapToGrid w:val="0"/>
                    <w:jc w:val="center"/>
                    <w:rPr>
                      <w:bCs/>
                      <w:szCs w:val="21"/>
                    </w:rPr>
                  </w:pPr>
                  <w:r>
                    <w:rPr>
                      <w:rFonts w:hint="eastAsia"/>
                      <w:bCs/>
                      <w:szCs w:val="21"/>
                    </w:rPr>
                    <w:t>30</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排放速率</w:t>
                  </w:r>
                  <w:r>
                    <w:rPr>
                      <w:szCs w:val="21"/>
                      <w:lang w:bidi="ar"/>
                    </w:rPr>
                    <w:t>(Kg/h)</w:t>
                  </w:r>
                </w:p>
              </w:tc>
              <w:tc>
                <w:tcPr>
                  <w:tcW w:w="1046" w:type="dxa"/>
                  <w:vAlign w:val="center"/>
                </w:tcPr>
                <w:p>
                  <w:pPr>
                    <w:adjustRightInd w:val="0"/>
                    <w:snapToGrid w:val="0"/>
                    <w:jc w:val="center"/>
                    <w:rPr>
                      <w:bCs/>
                      <w:szCs w:val="21"/>
                    </w:rPr>
                  </w:pPr>
                  <w:r>
                    <w:rPr>
                      <w:rFonts w:hint="eastAsia"/>
                      <w:bCs/>
                      <w:szCs w:val="21"/>
                    </w:rPr>
                    <w:t>0.020</w:t>
                  </w:r>
                </w:p>
              </w:tc>
              <w:tc>
                <w:tcPr>
                  <w:tcW w:w="942" w:type="dxa"/>
                  <w:vAlign w:val="center"/>
                </w:tcPr>
                <w:p>
                  <w:pPr>
                    <w:adjustRightInd w:val="0"/>
                    <w:snapToGrid w:val="0"/>
                    <w:jc w:val="center"/>
                    <w:rPr>
                      <w:bCs/>
                      <w:szCs w:val="21"/>
                    </w:rPr>
                  </w:pPr>
                  <w:r>
                    <w:rPr>
                      <w:rFonts w:hint="eastAsia"/>
                      <w:bCs/>
                      <w:szCs w:val="21"/>
                    </w:rPr>
                    <w:t>0.021</w:t>
                  </w:r>
                </w:p>
              </w:tc>
              <w:tc>
                <w:tcPr>
                  <w:tcW w:w="942" w:type="dxa"/>
                  <w:vAlign w:val="center"/>
                </w:tcPr>
                <w:p>
                  <w:pPr>
                    <w:adjustRightInd w:val="0"/>
                    <w:snapToGrid w:val="0"/>
                    <w:jc w:val="center"/>
                    <w:rPr>
                      <w:bCs/>
                      <w:szCs w:val="21"/>
                    </w:rPr>
                  </w:pPr>
                  <w:r>
                    <w:rPr>
                      <w:rFonts w:hint="eastAsia"/>
                      <w:bCs/>
                      <w:szCs w:val="21"/>
                    </w:rPr>
                    <w:t>0.020</w:t>
                  </w:r>
                </w:p>
              </w:tc>
              <w:tc>
                <w:tcPr>
                  <w:tcW w:w="942" w:type="dxa"/>
                  <w:vAlign w:val="center"/>
                </w:tcPr>
                <w:p>
                  <w:pPr>
                    <w:adjustRightInd w:val="0"/>
                    <w:snapToGrid w:val="0"/>
                    <w:jc w:val="center"/>
                    <w:rPr>
                      <w:bCs/>
                      <w:szCs w:val="21"/>
                    </w:rPr>
                  </w:pPr>
                  <w:r>
                    <w:rPr>
                      <w:rFonts w:hint="eastAsia"/>
                      <w:bCs/>
                      <w:szCs w:val="21"/>
                    </w:rPr>
                    <w:t>0.020</w:t>
                  </w:r>
                </w:p>
              </w:tc>
              <w:tc>
                <w:tcPr>
                  <w:tcW w:w="942" w:type="dxa"/>
                  <w:vAlign w:val="center"/>
                </w:tcPr>
                <w:p>
                  <w:pPr>
                    <w:adjustRightInd w:val="0"/>
                    <w:snapToGrid w:val="0"/>
                    <w:jc w:val="center"/>
                    <w:rPr>
                      <w:bCs/>
                      <w:szCs w:val="21"/>
                    </w:rPr>
                  </w:pPr>
                  <w:r>
                    <w:rPr>
                      <w:rFonts w:hint="eastAsia"/>
                      <w:bCs/>
                      <w:szCs w:val="21"/>
                    </w:rPr>
                    <w:t>0.010</w:t>
                  </w:r>
                </w:p>
              </w:tc>
              <w:tc>
                <w:tcPr>
                  <w:tcW w:w="942" w:type="dxa"/>
                  <w:vAlign w:val="center"/>
                </w:tcPr>
                <w:p>
                  <w:pPr>
                    <w:adjustRightInd w:val="0"/>
                    <w:snapToGrid w:val="0"/>
                    <w:jc w:val="center"/>
                    <w:rPr>
                      <w:bCs/>
                      <w:szCs w:val="21"/>
                    </w:rPr>
                  </w:pPr>
                  <w:r>
                    <w:rPr>
                      <w:rFonts w:hint="eastAsia"/>
                      <w:bCs/>
                      <w:szCs w:val="21"/>
                    </w:rPr>
                    <w:t>0.010</w:t>
                  </w:r>
                </w:p>
              </w:tc>
              <w:tc>
                <w:tcPr>
                  <w:tcW w:w="942" w:type="dxa"/>
                  <w:vAlign w:val="center"/>
                </w:tcPr>
                <w:p>
                  <w:pPr>
                    <w:adjustRightInd w:val="0"/>
                    <w:snapToGrid w:val="0"/>
                    <w:jc w:val="center"/>
                    <w:rPr>
                      <w:bCs/>
                      <w:szCs w:val="21"/>
                    </w:rPr>
                  </w:pPr>
                  <w:r>
                    <w:rPr>
                      <w:rFonts w:hint="eastAsia"/>
                      <w:bCs/>
                      <w:szCs w:val="21"/>
                    </w:rPr>
                    <w:t>0.010</w:t>
                  </w:r>
                </w:p>
              </w:tc>
              <w:tc>
                <w:tcPr>
                  <w:tcW w:w="942" w:type="dxa"/>
                  <w:vAlign w:val="center"/>
                </w:tcPr>
                <w:p>
                  <w:pPr>
                    <w:adjustRightInd w:val="0"/>
                    <w:snapToGrid w:val="0"/>
                    <w:jc w:val="center"/>
                    <w:rPr>
                      <w:bCs/>
                      <w:szCs w:val="21"/>
                    </w:rPr>
                  </w:pPr>
                  <w:r>
                    <w:rPr>
                      <w:rFonts w:hint="eastAsia"/>
                      <w:bCs/>
                      <w:szCs w:val="21"/>
                    </w:rPr>
                    <w:t>0.010.</w:t>
                  </w:r>
                </w:p>
              </w:tc>
              <w:tc>
                <w:tcPr>
                  <w:tcW w:w="726" w:type="dxa"/>
                  <w:vAlign w:val="center"/>
                </w:tcPr>
                <w:p>
                  <w:pPr>
                    <w:adjustRightInd w:val="0"/>
                    <w:snapToGrid w:val="0"/>
                    <w:jc w:val="center"/>
                    <w:rPr>
                      <w:bCs/>
                      <w:szCs w:val="21"/>
                    </w:rPr>
                  </w:pPr>
                  <w:r>
                    <w:rPr>
                      <w:szCs w:val="21"/>
                      <w:lang w:bidi="ar"/>
                    </w:rPr>
                    <w:t>—</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restart"/>
                  <w:vAlign w:val="center"/>
                </w:tcPr>
                <w:p>
                  <w:pPr>
                    <w:adjustRightInd w:val="0"/>
                    <w:snapToGrid w:val="0"/>
                    <w:jc w:val="center"/>
                    <w:rPr>
                      <w:bCs/>
                      <w:szCs w:val="21"/>
                    </w:rPr>
                  </w:pPr>
                  <w:r>
                    <w:rPr>
                      <w:bCs/>
                      <w:szCs w:val="21"/>
                    </w:rPr>
                    <w:t>二氧化硫</w:t>
                  </w:r>
                </w:p>
              </w:tc>
              <w:tc>
                <w:tcPr>
                  <w:tcW w:w="1638" w:type="dxa"/>
                  <w:vAlign w:val="center"/>
                </w:tcPr>
                <w:p>
                  <w:pPr>
                    <w:adjustRightInd w:val="0"/>
                    <w:snapToGrid w:val="0"/>
                    <w:jc w:val="center"/>
                    <w:rPr>
                      <w:bCs/>
                      <w:szCs w:val="21"/>
                    </w:rPr>
                  </w:pPr>
                  <w:r>
                    <w:rPr>
                      <w:bCs/>
                      <w:szCs w:val="21"/>
                    </w:rPr>
                    <w:t>实测浓度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942" w:type="dxa"/>
                  <w:vAlign w:val="center"/>
                </w:tcPr>
                <w:p>
                  <w:pPr>
                    <w:adjustRightInd w:val="0"/>
                    <w:snapToGrid w:val="0"/>
                    <w:jc w:val="center"/>
                    <w:rPr>
                      <w:bCs/>
                      <w:szCs w:val="21"/>
                    </w:rPr>
                  </w:pPr>
                  <w:r>
                    <w:rPr>
                      <w:szCs w:val="21"/>
                      <w:lang w:bidi="ar"/>
                    </w:rPr>
                    <w:t>&lt;3</w:t>
                  </w:r>
                </w:p>
              </w:tc>
              <w:tc>
                <w:tcPr>
                  <w:tcW w:w="726" w:type="dxa"/>
                  <w:vAlign w:val="center"/>
                </w:tcPr>
                <w:p>
                  <w:pPr>
                    <w:adjustRightInd w:val="0"/>
                    <w:snapToGrid w:val="0"/>
                    <w:jc w:val="center"/>
                    <w:rPr>
                      <w:bCs/>
                      <w:szCs w:val="21"/>
                    </w:rPr>
                  </w:pPr>
                  <w:r>
                    <w:rPr>
                      <w:szCs w:val="21"/>
                      <w:lang w:bidi="ar"/>
                    </w:rPr>
                    <w:t>—</w:t>
                  </w:r>
                </w:p>
              </w:tc>
              <w:tc>
                <w:tcPr>
                  <w:tcW w:w="1157" w:type="dxa"/>
                  <w:vMerge w:val="restart"/>
                  <w:vAlign w:val="center"/>
                </w:tcPr>
                <w:p>
                  <w:pPr>
                    <w:adjustRightInd w:val="0"/>
                    <w:snapToGrid w:val="0"/>
                    <w:jc w:val="center"/>
                    <w:rPr>
                      <w:bCs/>
                      <w:szCs w:val="21"/>
                    </w:rPr>
                  </w:pPr>
                  <w:r>
                    <w:rPr>
                      <w:szCs w:val="21"/>
                      <w:lang w:bidi="ar"/>
                    </w:rPr>
                    <w:t>—</w:t>
                  </w:r>
                </w:p>
              </w:tc>
              <w:tc>
                <w:tcPr>
                  <w:tcW w:w="1109" w:type="dxa"/>
                  <w:vMerge w:val="restart"/>
                  <w:vAlign w:val="center"/>
                </w:tcPr>
                <w:p>
                  <w:pPr>
                    <w:adjustRightInd w:val="0"/>
                    <w:snapToGrid w:val="0"/>
                    <w:jc w:val="center"/>
                    <w:rPr>
                      <w:bCs/>
                      <w:szCs w:val="21"/>
                    </w:rPr>
                  </w:pPr>
                  <w:r>
                    <w:rPr>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折算浓度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726" w:type="dxa"/>
                  <w:vAlign w:val="center"/>
                </w:tcPr>
                <w:p>
                  <w:pPr>
                    <w:adjustRightInd w:val="0"/>
                    <w:snapToGrid w:val="0"/>
                    <w:jc w:val="center"/>
                    <w:rPr>
                      <w:bCs/>
                      <w:szCs w:val="21"/>
                    </w:rPr>
                  </w:pPr>
                  <w:r>
                    <w:rPr>
                      <w:rFonts w:hint="eastAsia"/>
                      <w:bCs/>
                      <w:szCs w:val="21"/>
                    </w:rPr>
                    <w:t>200</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排放速率</w:t>
                  </w:r>
                  <w:r>
                    <w:rPr>
                      <w:szCs w:val="21"/>
                      <w:lang w:bidi="ar"/>
                    </w:rPr>
                    <w:t>(Kg/h)</w:t>
                  </w:r>
                </w:p>
              </w:tc>
              <w:tc>
                <w:tcPr>
                  <w:tcW w:w="1046"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942" w:type="dxa"/>
                  <w:vAlign w:val="center"/>
                </w:tcPr>
                <w:p>
                  <w:pPr>
                    <w:adjustRightInd w:val="0"/>
                    <w:snapToGrid w:val="0"/>
                    <w:jc w:val="center"/>
                    <w:rPr>
                      <w:bCs/>
                      <w:szCs w:val="21"/>
                    </w:rPr>
                  </w:pPr>
                  <w:r>
                    <w:rPr>
                      <w:szCs w:val="21"/>
                      <w:lang w:bidi="ar"/>
                    </w:rPr>
                    <w:t>—</w:t>
                  </w:r>
                </w:p>
              </w:tc>
              <w:tc>
                <w:tcPr>
                  <w:tcW w:w="726" w:type="dxa"/>
                  <w:vAlign w:val="center"/>
                </w:tcPr>
                <w:p>
                  <w:pPr>
                    <w:adjustRightInd w:val="0"/>
                    <w:snapToGrid w:val="0"/>
                    <w:jc w:val="center"/>
                    <w:rPr>
                      <w:bCs/>
                      <w:szCs w:val="21"/>
                    </w:rPr>
                  </w:pPr>
                  <w:r>
                    <w:rPr>
                      <w:szCs w:val="21"/>
                      <w:lang w:bidi="ar"/>
                    </w:rPr>
                    <w:t>—</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restart"/>
                  <w:vAlign w:val="center"/>
                </w:tcPr>
                <w:p>
                  <w:pPr>
                    <w:adjustRightInd w:val="0"/>
                    <w:snapToGrid w:val="0"/>
                    <w:jc w:val="center"/>
                    <w:rPr>
                      <w:bCs/>
                      <w:szCs w:val="21"/>
                    </w:rPr>
                  </w:pPr>
                  <w:r>
                    <w:rPr>
                      <w:bCs/>
                      <w:szCs w:val="21"/>
                    </w:rPr>
                    <w:t>氮氧化物</w:t>
                  </w:r>
                </w:p>
              </w:tc>
              <w:tc>
                <w:tcPr>
                  <w:tcW w:w="1638" w:type="dxa"/>
                  <w:vAlign w:val="center"/>
                </w:tcPr>
                <w:p>
                  <w:pPr>
                    <w:adjustRightInd w:val="0"/>
                    <w:snapToGrid w:val="0"/>
                    <w:jc w:val="center"/>
                    <w:rPr>
                      <w:bCs/>
                      <w:szCs w:val="21"/>
                    </w:rPr>
                  </w:pPr>
                  <w:r>
                    <w:rPr>
                      <w:bCs/>
                      <w:szCs w:val="21"/>
                    </w:rPr>
                    <w:t>实测浓度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rFonts w:hint="eastAsia"/>
                      <w:bCs/>
                      <w:szCs w:val="21"/>
                    </w:rPr>
                    <w:t>512.2</w:t>
                  </w:r>
                </w:p>
              </w:tc>
              <w:tc>
                <w:tcPr>
                  <w:tcW w:w="942" w:type="dxa"/>
                  <w:vAlign w:val="center"/>
                </w:tcPr>
                <w:p>
                  <w:pPr>
                    <w:adjustRightInd w:val="0"/>
                    <w:snapToGrid w:val="0"/>
                    <w:jc w:val="center"/>
                    <w:rPr>
                      <w:bCs/>
                      <w:szCs w:val="21"/>
                    </w:rPr>
                  </w:pPr>
                  <w:r>
                    <w:rPr>
                      <w:rFonts w:hint="eastAsia"/>
                      <w:bCs/>
                      <w:szCs w:val="21"/>
                    </w:rPr>
                    <w:t>498.5</w:t>
                  </w:r>
                </w:p>
              </w:tc>
              <w:tc>
                <w:tcPr>
                  <w:tcW w:w="942" w:type="dxa"/>
                  <w:vAlign w:val="center"/>
                </w:tcPr>
                <w:p>
                  <w:pPr>
                    <w:adjustRightInd w:val="0"/>
                    <w:snapToGrid w:val="0"/>
                    <w:jc w:val="center"/>
                    <w:rPr>
                      <w:bCs/>
                      <w:szCs w:val="21"/>
                    </w:rPr>
                  </w:pPr>
                  <w:r>
                    <w:rPr>
                      <w:rFonts w:hint="eastAsia"/>
                      <w:bCs/>
                      <w:szCs w:val="21"/>
                    </w:rPr>
                    <w:t>504.4</w:t>
                  </w:r>
                </w:p>
              </w:tc>
              <w:tc>
                <w:tcPr>
                  <w:tcW w:w="942" w:type="dxa"/>
                  <w:vAlign w:val="center"/>
                </w:tcPr>
                <w:p>
                  <w:pPr>
                    <w:adjustRightInd w:val="0"/>
                    <w:snapToGrid w:val="0"/>
                    <w:jc w:val="center"/>
                    <w:rPr>
                      <w:bCs/>
                      <w:szCs w:val="21"/>
                    </w:rPr>
                  </w:pPr>
                  <w:r>
                    <w:rPr>
                      <w:rFonts w:hint="eastAsia"/>
                      <w:bCs/>
                      <w:szCs w:val="21"/>
                    </w:rPr>
                    <w:t>505.0</w:t>
                  </w:r>
                </w:p>
              </w:tc>
              <w:tc>
                <w:tcPr>
                  <w:tcW w:w="942" w:type="dxa"/>
                  <w:vAlign w:val="center"/>
                </w:tcPr>
                <w:p>
                  <w:pPr>
                    <w:adjustRightInd w:val="0"/>
                    <w:snapToGrid w:val="0"/>
                    <w:jc w:val="center"/>
                    <w:rPr>
                      <w:bCs/>
                      <w:szCs w:val="21"/>
                    </w:rPr>
                  </w:pPr>
                  <w:r>
                    <w:rPr>
                      <w:rFonts w:hint="eastAsia"/>
                      <w:bCs/>
                      <w:szCs w:val="21"/>
                    </w:rPr>
                    <w:t>82.3</w:t>
                  </w:r>
                </w:p>
              </w:tc>
              <w:tc>
                <w:tcPr>
                  <w:tcW w:w="942" w:type="dxa"/>
                  <w:vAlign w:val="center"/>
                </w:tcPr>
                <w:p>
                  <w:pPr>
                    <w:adjustRightInd w:val="0"/>
                    <w:snapToGrid w:val="0"/>
                    <w:jc w:val="center"/>
                    <w:rPr>
                      <w:bCs/>
                      <w:szCs w:val="21"/>
                    </w:rPr>
                  </w:pPr>
                  <w:r>
                    <w:rPr>
                      <w:rFonts w:hint="eastAsia"/>
                      <w:bCs/>
                      <w:szCs w:val="21"/>
                    </w:rPr>
                    <w:t>74.7</w:t>
                  </w:r>
                </w:p>
              </w:tc>
              <w:tc>
                <w:tcPr>
                  <w:tcW w:w="942" w:type="dxa"/>
                  <w:vAlign w:val="center"/>
                </w:tcPr>
                <w:p>
                  <w:pPr>
                    <w:adjustRightInd w:val="0"/>
                    <w:snapToGrid w:val="0"/>
                    <w:jc w:val="center"/>
                    <w:rPr>
                      <w:bCs/>
                      <w:szCs w:val="21"/>
                    </w:rPr>
                  </w:pPr>
                  <w:r>
                    <w:rPr>
                      <w:rFonts w:hint="eastAsia"/>
                      <w:bCs/>
                      <w:szCs w:val="21"/>
                    </w:rPr>
                    <w:t>81.2</w:t>
                  </w:r>
                </w:p>
              </w:tc>
              <w:tc>
                <w:tcPr>
                  <w:tcW w:w="942" w:type="dxa"/>
                  <w:vAlign w:val="center"/>
                </w:tcPr>
                <w:p>
                  <w:pPr>
                    <w:adjustRightInd w:val="0"/>
                    <w:snapToGrid w:val="0"/>
                    <w:jc w:val="center"/>
                    <w:rPr>
                      <w:bCs/>
                      <w:szCs w:val="21"/>
                    </w:rPr>
                  </w:pPr>
                  <w:r>
                    <w:rPr>
                      <w:rFonts w:hint="eastAsia"/>
                      <w:bCs/>
                      <w:szCs w:val="21"/>
                    </w:rPr>
                    <w:t>79.4</w:t>
                  </w:r>
                </w:p>
              </w:tc>
              <w:tc>
                <w:tcPr>
                  <w:tcW w:w="726" w:type="dxa"/>
                  <w:vAlign w:val="center"/>
                </w:tcPr>
                <w:p>
                  <w:pPr>
                    <w:adjustRightInd w:val="0"/>
                    <w:snapToGrid w:val="0"/>
                    <w:jc w:val="center"/>
                    <w:rPr>
                      <w:bCs/>
                      <w:szCs w:val="21"/>
                    </w:rPr>
                  </w:pPr>
                  <w:r>
                    <w:rPr>
                      <w:szCs w:val="21"/>
                      <w:lang w:bidi="ar"/>
                    </w:rPr>
                    <w:t>—</w:t>
                  </w:r>
                </w:p>
              </w:tc>
              <w:tc>
                <w:tcPr>
                  <w:tcW w:w="1157" w:type="dxa"/>
                  <w:vMerge w:val="restart"/>
                  <w:vAlign w:val="center"/>
                </w:tcPr>
                <w:p>
                  <w:pPr>
                    <w:adjustRightInd w:val="0"/>
                    <w:snapToGrid w:val="0"/>
                    <w:jc w:val="center"/>
                    <w:rPr>
                      <w:bCs/>
                      <w:szCs w:val="21"/>
                    </w:rPr>
                  </w:pPr>
                  <w:r>
                    <w:rPr>
                      <w:rFonts w:hint="eastAsia"/>
                      <w:bCs/>
                      <w:szCs w:val="21"/>
                    </w:rPr>
                    <w:t>0.20</w:t>
                  </w:r>
                </w:p>
              </w:tc>
              <w:tc>
                <w:tcPr>
                  <w:tcW w:w="1109" w:type="dxa"/>
                  <w:vMerge w:val="restart"/>
                  <w:vAlign w:val="center"/>
                </w:tcPr>
                <w:p>
                  <w:pPr>
                    <w:adjustRightInd w:val="0"/>
                    <w:snapToGrid w:val="0"/>
                    <w:jc w:val="center"/>
                    <w:rPr>
                      <w:bCs/>
                      <w:szCs w:val="21"/>
                    </w:rPr>
                  </w:pPr>
                  <w:r>
                    <w:rPr>
                      <w:rFonts w:hint="eastAsia"/>
                      <w:bCs/>
                      <w:szCs w:val="21"/>
                    </w:rPr>
                    <w:t>84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折算浓度</w:t>
                  </w:r>
                  <w:r>
                    <w:rPr>
                      <w:rFonts w:hint="eastAsia"/>
                      <w:bCs/>
                      <w:szCs w:val="21"/>
                    </w:rPr>
                    <w:t>（mg/m</w:t>
                  </w:r>
                  <w:r>
                    <w:rPr>
                      <w:rFonts w:hint="eastAsia"/>
                      <w:bCs/>
                      <w:szCs w:val="21"/>
                      <w:vertAlign w:val="superscript"/>
                    </w:rPr>
                    <w:t>3</w:t>
                  </w:r>
                  <w:r>
                    <w:rPr>
                      <w:rFonts w:hint="eastAsia"/>
                      <w:bCs/>
                      <w:szCs w:val="21"/>
                    </w:rPr>
                    <w:t>）</w:t>
                  </w:r>
                </w:p>
              </w:tc>
              <w:tc>
                <w:tcPr>
                  <w:tcW w:w="1046" w:type="dxa"/>
                  <w:vAlign w:val="center"/>
                </w:tcPr>
                <w:p>
                  <w:pPr>
                    <w:adjustRightInd w:val="0"/>
                    <w:snapToGrid w:val="0"/>
                    <w:jc w:val="center"/>
                    <w:rPr>
                      <w:bCs/>
                      <w:szCs w:val="21"/>
                    </w:rPr>
                  </w:pPr>
                  <w:r>
                    <w:rPr>
                      <w:rFonts w:hint="eastAsia"/>
                      <w:bCs/>
                      <w:szCs w:val="21"/>
                    </w:rPr>
                    <w:t>725.6</w:t>
                  </w:r>
                </w:p>
              </w:tc>
              <w:tc>
                <w:tcPr>
                  <w:tcW w:w="942" w:type="dxa"/>
                  <w:vAlign w:val="center"/>
                </w:tcPr>
                <w:p>
                  <w:pPr>
                    <w:adjustRightInd w:val="0"/>
                    <w:snapToGrid w:val="0"/>
                    <w:jc w:val="center"/>
                    <w:rPr>
                      <w:bCs/>
                      <w:szCs w:val="21"/>
                    </w:rPr>
                  </w:pPr>
                  <w:r>
                    <w:rPr>
                      <w:rFonts w:hint="eastAsia"/>
                      <w:bCs/>
                      <w:szCs w:val="21"/>
                    </w:rPr>
                    <w:t>738.4</w:t>
                  </w:r>
                </w:p>
              </w:tc>
              <w:tc>
                <w:tcPr>
                  <w:tcW w:w="942" w:type="dxa"/>
                  <w:vAlign w:val="center"/>
                </w:tcPr>
                <w:p>
                  <w:pPr>
                    <w:adjustRightInd w:val="0"/>
                    <w:snapToGrid w:val="0"/>
                    <w:jc w:val="center"/>
                    <w:rPr>
                      <w:bCs/>
                      <w:szCs w:val="21"/>
                    </w:rPr>
                  </w:pPr>
                  <w:r>
                    <w:rPr>
                      <w:rFonts w:hint="eastAsia"/>
                      <w:bCs/>
                      <w:szCs w:val="21"/>
                    </w:rPr>
                    <w:t>765.5</w:t>
                  </w:r>
                </w:p>
              </w:tc>
              <w:tc>
                <w:tcPr>
                  <w:tcW w:w="942" w:type="dxa"/>
                  <w:vAlign w:val="center"/>
                </w:tcPr>
                <w:p>
                  <w:pPr>
                    <w:adjustRightInd w:val="0"/>
                    <w:snapToGrid w:val="0"/>
                    <w:jc w:val="center"/>
                    <w:rPr>
                      <w:bCs/>
                      <w:szCs w:val="21"/>
                    </w:rPr>
                  </w:pPr>
                  <w:r>
                    <w:rPr>
                      <w:rFonts w:hint="eastAsia"/>
                      <w:bCs/>
                      <w:szCs w:val="21"/>
                    </w:rPr>
                    <w:t>742.6</w:t>
                  </w:r>
                </w:p>
              </w:tc>
              <w:tc>
                <w:tcPr>
                  <w:tcW w:w="942" w:type="dxa"/>
                  <w:vAlign w:val="center"/>
                </w:tcPr>
                <w:p>
                  <w:pPr>
                    <w:adjustRightInd w:val="0"/>
                    <w:snapToGrid w:val="0"/>
                    <w:jc w:val="center"/>
                    <w:rPr>
                      <w:bCs/>
                      <w:szCs w:val="21"/>
                    </w:rPr>
                  </w:pPr>
                  <w:r>
                    <w:rPr>
                      <w:rFonts w:hint="eastAsia"/>
                      <w:bCs/>
                      <w:szCs w:val="21"/>
                    </w:rPr>
                    <w:t>116.3</w:t>
                  </w:r>
                </w:p>
              </w:tc>
              <w:tc>
                <w:tcPr>
                  <w:tcW w:w="942" w:type="dxa"/>
                  <w:vAlign w:val="center"/>
                </w:tcPr>
                <w:p>
                  <w:pPr>
                    <w:adjustRightInd w:val="0"/>
                    <w:snapToGrid w:val="0"/>
                    <w:jc w:val="center"/>
                    <w:rPr>
                      <w:bCs/>
                      <w:szCs w:val="21"/>
                    </w:rPr>
                  </w:pPr>
                  <w:r>
                    <w:rPr>
                      <w:rFonts w:hint="eastAsia"/>
                      <w:bCs/>
                      <w:szCs w:val="21"/>
                    </w:rPr>
                    <w:t>108.8</w:t>
                  </w:r>
                </w:p>
              </w:tc>
              <w:tc>
                <w:tcPr>
                  <w:tcW w:w="942" w:type="dxa"/>
                  <w:vAlign w:val="center"/>
                </w:tcPr>
                <w:p>
                  <w:pPr>
                    <w:adjustRightInd w:val="0"/>
                    <w:snapToGrid w:val="0"/>
                    <w:jc w:val="center"/>
                    <w:rPr>
                      <w:bCs/>
                      <w:szCs w:val="21"/>
                    </w:rPr>
                  </w:pPr>
                  <w:r>
                    <w:rPr>
                      <w:rFonts w:hint="eastAsia"/>
                      <w:bCs/>
                      <w:szCs w:val="21"/>
                    </w:rPr>
                    <w:t>115.6</w:t>
                  </w:r>
                </w:p>
              </w:tc>
              <w:tc>
                <w:tcPr>
                  <w:tcW w:w="942" w:type="dxa"/>
                  <w:vAlign w:val="center"/>
                </w:tcPr>
                <w:p>
                  <w:pPr>
                    <w:adjustRightInd w:val="0"/>
                    <w:snapToGrid w:val="0"/>
                    <w:jc w:val="center"/>
                    <w:rPr>
                      <w:bCs/>
                      <w:szCs w:val="21"/>
                    </w:rPr>
                  </w:pPr>
                  <w:r>
                    <w:rPr>
                      <w:rFonts w:hint="eastAsia"/>
                      <w:bCs/>
                      <w:szCs w:val="21"/>
                    </w:rPr>
                    <w:t>113.6</w:t>
                  </w:r>
                </w:p>
              </w:tc>
              <w:tc>
                <w:tcPr>
                  <w:tcW w:w="726" w:type="dxa"/>
                  <w:vAlign w:val="center"/>
                </w:tcPr>
                <w:p>
                  <w:pPr>
                    <w:adjustRightInd w:val="0"/>
                    <w:snapToGrid w:val="0"/>
                    <w:jc w:val="center"/>
                    <w:rPr>
                      <w:bCs/>
                      <w:szCs w:val="21"/>
                    </w:rPr>
                  </w:pPr>
                  <w:r>
                    <w:rPr>
                      <w:rFonts w:hint="eastAsia"/>
                      <w:bCs/>
                      <w:szCs w:val="21"/>
                    </w:rPr>
                    <w:t>300</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584" w:type="dxa"/>
                  <w:vMerge w:val="continue"/>
                  <w:vAlign w:val="center"/>
                </w:tcPr>
                <w:p>
                  <w:pPr>
                    <w:adjustRightInd w:val="0"/>
                    <w:snapToGrid w:val="0"/>
                    <w:jc w:val="center"/>
                    <w:rPr>
                      <w:bCs/>
                      <w:szCs w:val="21"/>
                    </w:rPr>
                  </w:pPr>
                </w:p>
              </w:tc>
              <w:tc>
                <w:tcPr>
                  <w:tcW w:w="1638" w:type="dxa"/>
                  <w:vAlign w:val="center"/>
                </w:tcPr>
                <w:p>
                  <w:pPr>
                    <w:adjustRightInd w:val="0"/>
                    <w:snapToGrid w:val="0"/>
                    <w:jc w:val="center"/>
                    <w:rPr>
                      <w:bCs/>
                      <w:szCs w:val="21"/>
                    </w:rPr>
                  </w:pPr>
                  <w:r>
                    <w:rPr>
                      <w:bCs/>
                      <w:szCs w:val="21"/>
                    </w:rPr>
                    <w:t>排放速率</w:t>
                  </w:r>
                  <w:r>
                    <w:rPr>
                      <w:szCs w:val="21"/>
                      <w:lang w:bidi="ar"/>
                    </w:rPr>
                    <w:t>(Kg/h)</w:t>
                  </w:r>
                </w:p>
              </w:tc>
              <w:tc>
                <w:tcPr>
                  <w:tcW w:w="1046" w:type="dxa"/>
                  <w:vAlign w:val="center"/>
                </w:tcPr>
                <w:p>
                  <w:pPr>
                    <w:adjustRightInd w:val="0"/>
                    <w:snapToGrid w:val="0"/>
                    <w:jc w:val="center"/>
                    <w:rPr>
                      <w:bCs/>
                      <w:szCs w:val="21"/>
                    </w:rPr>
                  </w:pPr>
                  <w:r>
                    <w:rPr>
                      <w:rFonts w:hint="eastAsia"/>
                      <w:bCs/>
                      <w:szCs w:val="21"/>
                    </w:rPr>
                    <w:t>0.514</w:t>
                  </w:r>
                </w:p>
              </w:tc>
              <w:tc>
                <w:tcPr>
                  <w:tcW w:w="942" w:type="dxa"/>
                  <w:vAlign w:val="center"/>
                </w:tcPr>
                <w:p>
                  <w:pPr>
                    <w:adjustRightInd w:val="0"/>
                    <w:snapToGrid w:val="0"/>
                    <w:jc w:val="center"/>
                    <w:rPr>
                      <w:bCs/>
                      <w:szCs w:val="21"/>
                    </w:rPr>
                  </w:pPr>
                  <w:r>
                    <w:rPr>
                      <w:rFonts w:hint="eastAsia"/>
                      <w:bCs/>
                      <w:szCs w:val="21"/>
                    </w:rPr>
                    <w:t>0.505</w:t>
                  </w:r>
                </w:p>
              </w:tc>
              <w:tc>
                <w:tcPr>
                  <w:tcW w:w="942" w:type="dxa"/>
                  <w:vAlign w:val="center"/>
                </w:tcPr>
                <w:p>
                  <w:pPr>
                    <w:adjustRightInd w:val="0"/>
                    <w:snapToGrid w:val="0"/>
                    <w:jc w:val="center"/>
                    <w:rPr>
                      <w:bCs/>
                      <w:szCs w:val="21"/>
                    </w:rPr>
                  </w:pPr>
                  <w:r>
                    <w:rPr>
                      <w:rFonts w:hint="eastAsia"/>
                      <w:bCs/>
                      <w:szCs w:val="21"/>
                    </w:rPr>
                    <w:t>0.522</w:t>
                  </w:r>
                </w:p>
              </w:tc>
              <w:tc>
                <w:tcPr>
                  <w:tcW w:w="942" w:type="dxa"/>
                  <w:vAlign w:val="center"/>
                </w:tcPr>
                <w:p>
                  <w:pPr>
                    <w:adjustRightInd w:val="0"/>
                    <w:snapToGrid w:val="0"/>
                    <w:jc w:val="center"/>
                    <w:rPr>
                      <w:bCs/>
                      <w:szCs w:val="21"/>
                    </w:rPr>
                  </w:pPr>
                  <w:r>
                    <w:rPr>
                      <w:rFonts w:hint="eastAsia"/>
                      <w:bCs/>
                      <w:szCs w:val="21"/>
                    </w:rPr>
                    <w:t>0.514</w:t>
                  </w:r>
                </w:p>
              </w:tc>
              <w:tc>
                <w:tcPr>
                  <w:tcW w:w="942" w:type="dxa"/>
                  <w:vAlign w:val="center"/>
                </w:tcPr>
                <w:p>
                  <w:pPr>
                    <w:adjustRightInd w:val="0"/>
                    <w:snapToGrid w:val="0"/>
                    <w:jc w:val="center"/>
                    <w:rPr>
                      <w:bCs/>
                      <w:szCs w:val="21"/>
                    </w:rPr>
                  </w:pPr>
                  <w:r>
                    <w:rPr>
                      <w:rFonts w:hint="eastAsia"/>
                      <w:bCs/>
                      <w:szCs w:val="21"/>
                    </w:rPr>
                    <w:t>0.087</w:t>
                  </w:r>
                </w:p>
              </w:tc>
              <w:tc>
                <w:tcPr>
                  <w:tcW w:w="942" w:type="dxa"/>
                  <w:vAlign w:val="center"/>
                </w:tcPr>
                <w:p>
                  <w:pPr>
                    <w:adjustRightInd w:val="0"/>
                    <w:snapToGrid w:val="0"/>
                    <w:jc w:val="center"/>
                    <w:rPr>
                      <w:bCs/>
                      <w:szCs w:val="21"/>
                    </w:rPr>
                  </w:pPr>
                  <w:r>
                    <w:rPr>
                      <w:rFonts w:hint="eastAsia"/>
                      <w:bCs/>
                      <w:szCs w:val="21"/>
                    </w:rPr>
                    <w:t>0.077</w:t>
                  </w:r>
                </w:p>
              </w:tc>
              <w:tc>
                <w:tcPr>
                  <w:tcW w:w="942" w:type="dxa"/>
                  <w:vAlign w:val="center"/>
                </w:tcPr>
                <w:p>
                  <w:pPr>
                    <w:adjustRightInd w:val="0"/>
                    <w:snapToGrid w:val="0"/>
                    <w:jc w:val="center"/>
                    <w:rPr>
                      <w:bCs/>
                      <w:szCs w:val="21"/>
                    </w:rPr>
                  </w:pPr>
                  <w:r>
                    <w:rPr>
                      <w:rFonts w:hint="eastAsia"/>
                      <w:bCs/>
                      <w:szCs w:val="21"/>
                    </w:rPr>
                    <w:t>0.084</w:t>
                  </w:r>
                </w:p>
              </w:tc>
              <w:tc>
                <w:tcPr>
                  <w:tcW w:w="942" w:type="dxa"/>
                  <w:vAlign w:val="center"/>
                </w:tcPr>
                <w:p>
                  <w:pPr>
                    <w:adjustRightInd w:val="0"/>
                    <w:snapToGrid w:val="0"/>
                    <w:jc w:val="center"/>
                    <w:rPr>
                      <w:bCs/>
                      <w:szCs w:val="21"/>
                    </w:rPr>
                  </w:pPr>
                  <w:r>
                    <w:rPr>
                      <w:rFonts w:hint="eastAsia"/>
                      <w:bCs/>
                      <w:szCs w:val="21"/>
                    </w:rPr>
                    <w:t>0..083</w:t>
                  </w:r>
                </w:p>
              </w:tc>
              <w:tc>
                <w:tcPr>
                  <w:tcW w:w="726" w:type="dxa"/>
                  <w:vAlign w:val="center"/>
                </w:tcPr>
                <w:p>
                  <w:pPr>
                    <w:adjustRightInd w:val="0"/>
                    <w:snapToGrid w:val="0"/>
                    <w:jc w:val="center"/>
                    <w:rPr>
                      <w:bCs/>
                      <w:szCs w:val="21"/>
                    </w:rPr>
                  </w:pPr>
                  <w:r>
                    <w:rPr>
                      <w:szCs w:val="21"/>
                      <w:lang w:bidi="ar"/>
                    </w:rPr>
                    <w:t>—</w:t>
                  </w:r>
                </w:p>
              </w:tc>
              <w:tc>
                <w:tcPr>
                  <w:tcW w:w="1157" w:type="dxa"/>
                  <w:vMerge w:val="continue"/>
                  <w:vAlign w:val="center"/>
                </w:tcPr>
                <w:p>
                  <w:pPr>
                    <w:adjustRightInd w:val="0"/>
                    <w:snapToGrid w:val="0"/>
                    <w:jc w:val="center"/>
                    <w:rPr>
                      <w:bCs/>
                      <w:szCs w:val="21"/>
                    </w:rPr>
                  </w:pPr>
                </w:p>
              </w:tc>
              <w:tc>
                <w:tcPr>
                  <w:tcW w:w="1109" w:type="dxa"/>
                  <w:vMerge w:val="continue"/>
                  <w:vAlign w:val="center"/>
                </w:tcPr>
                <w:p>
                  <w:pPr>
                    <w:adjustRightInd w:val="0"/>
                    <w:snapToGrid w:val="0"/>
                    <w:jc w:val="center"/>
                    <w:rPr>
                      <w:bCs/>
                      <w:szCs w:val="21"/>
                    </w:rPr>
                  </w:pPr>
                </w:p>
              </w:tc>
            </w:tr>
          </w:tbl>
          <w:p>
            <w:pPr>
              <w:spacing w:line="360" w:lineRule="auto"/>
              <w:jc w:val="center"/>
              <w:rPr>
                <w:b/>
                <w:bCs/>
                <w:szCs w:val="21"/>
              </w:rPr>
            </w:pPr>
          </w:p>
          <w:p>
            <w:pPr>
              <w:spacing w:line="360" w:lineRule="auto"/>
              <w:jc w:val="center"/>
              <w:rPr>
                <w:b/>
                <w:bCs/>
                <w:szCs w:val="21"/>
              </w:rPr>
            </w:pPr>
          </w:p>
          <w:p>
            <w:pPr>
              <w:spacing w:line="360" w:lineRule="auto"/>
              <w:jc w:val="center"/>
              <w:rPr>
                <w:b/>
                <w:bCs/>
                <w:szCs w:val="21"/>
              </w:rPr>
            </w:pPr>
            <w:r>
              <w:rPr>
                <w:b/>
                <w:bCs/>
                <w:szCs w:val="21"/>
              </w:rPr>
              <w:t>表</w:t>
            </w:r>
            <w:r>
              <w:rPr>
                <w:rFonts w:hint="eastAsia"/>
                <w:b/>
                <w:bCs/>
                <w:szCs w:val="21"/>
              </w:rPr>
              <w:t>32</w:t>
            </w:r>
            <w:r>
              <w:rPr>
                <w:b/>
                <w:bCs/>
                <w:szCs w:val="21"/>
              </w:rPr>
              <w:t xml:space="preserve">  </w:t>
            </w:r>
            <w:r>
              <w:rPr>
                <w:rFonts w:hint="eastAsia"/>
                <w:b/>
                <w:bCs/>
                <w:szCs w:val="21"/>
              </w:rPr>
              <w:t>定襄县腾顺锻造厂脱硝设施</w:t>
            </w:r>
            <w:r>
              <w:rPr>
                <w:b/>
                <w:bCs/>
                <w:szCs w:val="21"/>
              </w:rPr>
              <w:t>进出口污染物监测结果</w:t>
            </w:r>
            <w:r>
              <w:rPr>
                <w:rFonts w:hint="eastAsia"/>
                <w:b/>
                <w:bCs/>
                <w:szCs w:val="21"/>
              </w:rPr>
              <w:t>（2021.1.19）</w:t>
            </w:r>
          </w:p>
          <w:tbl>
            <w:tblPr>
              <w:tblStyle w:val="12"/>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753"/>
              <w:gridCol w:w="846"/>
              <w:gridCol w:w="828"/>
              <w:gridCol w:w="854"/>
              <w:gridCol w:w="1062"/>
              <w:gridCol w:w="1064"/>
              <w:gridCol w:w="1064"/>
              <w:gridCol w:w="1064"/>
              <w:gridCol w:w="1062"/>
              <w:gridCol w:w="1064"/>
              <w:gridCol w:w="1064"/>
              <w:gridCol w:w="1064"/>
              <w:gridCol w:w="106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22" w:type="pct"/>
                  <w:gridSpan w:val="2"/>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监测日期</w:t>
                  </w:r>
                </w:p>
              </w:tc>
              <w:tc>
                <w:tcPr>
                  <w:tcW w:w="4378" w:type="pct"/>
                  <w:gridSpan w:val="11"/>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202</w:t>
                  </w:r>
                  <w:r>
                    <w:rPr>
                      <w:rFonts w:hint="eastAsia" w:ascii="Times New Roman" w:hAnsi="Times New Roman" w:cs="Times New Roman"/>
                      <w:sz w:val="21"/>
                      <w:szCs w:val="21"/>
                      <w:lang w:bidi="ar"/>
                    </w:rPr>
                    <w:t>1</w:t>
                  </w:r>
                  <w:r>
                    <w:rPr>
                      <w:rFonts w:ascii="Times New Roman" w:hAnsi="Times New Roman" w:cs="Times New Roman"/>
                      <w:sz w:val="21"/>
                      <w:szCs w:val="21"/>
                      <w:lang w:bidi="ar"/>
                    </w:rPr>
                    <w:t>年</w:t>
                  </w:r>
                  <w:r>
                    <w:rPr>
                      <w:rFonts w:hint="eastAsia" w:ascii="Times New Roman" w:hAnsi="Times New Roman" w:cs="Times New Roman"/>
                      <w:sz w:val="21"/>
                      <w:szCs w:val="21"/>
                      <w:lang w:bidi="ar"/>
                    </w:rPr>
                    <w:t>1</w:t>
                  </w:r>
                  <w:r>
                    <w:rPr>
                      <w:rFonts w:ascii="Times New Roman" w:hAnsi="Times New Roman" w:cs="Times New Roman"/>
                      <w:sz w:val="21"/>
                      <w:szCs w:val="21"/>
                      <w:lang w:bidi="ar"/>
                    </w:rPr>
                    <w:t>月</w:t>
                  </w:r>
                  <w:r>
                    <w:rPr>
                      <w:rFonts w:hint="eastAsia" w:ascii="Times New Roman" w:hAnsi="Times New Roman" w:cs="Times New Roman"/>
                      <w:sz w:val="21"/>
                      <w:szCs w:val="21"/>
                      <w:lang w:bidi="ar"/>
                    </w:rPr>
                    <w:t>19</w:t>
                  </w:r>
                  <w:r>
                    <w:rPr>
                      <w:rFonts w:ascii="Times New Roman" w:hAnsi="Times New Roman" w:cs="Times New Roman"/>
                      <w:sz w:val="21"/>
                      <w:szCs w:val="21"/>
                      <w:lang w:bidi="ar"/>
                    </w:rPr>
                    <w:t>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测点位置</w:t>
                  </w:r>
                </w:p>
              </w:tc>
              <w:tc>
                <w:tcPr>
                  <w:tcW w:w="329" w:type="pct"/>
                  <w:vMerge w:val="restar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频次</w:t>
                  </w:r>
                </w:p>
              </w:tc>
              <w:tc>
                <w:tcPr>
                  <w:tcW w:w="322"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标态干排气量(m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/h)</w:t>
                  </w:r>
                </w:p>
              </w:tc>
              <w:tc>
                <w:tcPr>
                  <w:tcW w:w="332"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含氧量(%)</w:t>
                  </w:r>
                </w:p>
              </w:tc>
              <w:tc>
                <w:tcPr>
                  <w:tcW w:w="1241"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颗粒物</w:t>
                  </w:r>
                </w:p>
              </w:tc>
              <w:tc>
                <w:tcPr>
                  <w:tcW w:w="1241"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二氧化硫</w:t>
                  </w:r>
                </w:p>
              </w:tc>
              <w:tc>
                <w:tcPr>
                  <w:tcW w:w="1242"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氮氧化物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continue"/>
                  <w:vAlign w:val="center"/>
                </w:tcPr>
                <w:p>
                  <w:pPr>
                    <w:pStyle w:val="10"/>
                    <w:autoSpaceDE w:val="0"/>
                    <w:jc w:val="center"/>
                    <w:rPr>
                      <w:rFonts w:ascii="Times New Roman" w:hAnsi="Times New Roman" w:cs="Times New Roman"/>
                      <w:sz w:val="21"/>
                      <w:szCs w:val="21"/>
                      <w:lang w:bidi="ar"/>
                    </w:rPr>
                  </w:pPr>
                </w:p>
              </w:tc>
              <w:tc>
                <w:tcPr>
                  <w:tcW w:w="329" w:type="pct"/>
                  <w:vMerge w:val="continue"/>
                  <w:vAlign w:val="center"/>
                </w:tcPr>
                <w:p>
                  <w:pPr>
                    <w:pStyle w:val="10"/>
                    <w:autoSpaceDE w:val="0"/>
                    <w:jc w:val="center"/>
                    <w:rPr>
                      <w:rFonts w:ascii="Times New Roman" w:hAnsi="Times New Roman" w:cs="Times New Roman"/>
                      <w:sz w:val="21"/>
                      <w:szCs w:val="21"/>
                      <w:lang w:bidi="ar"/>
                    </w:rPr>
                  </w:pPr>
                </w:p>
              </w:tc>
              <w:tc>
                <w:tcPr>
                  <w:tcW w:w="322" w:type="pct"/>
                  <w:vMerge w:val="continue"/>
                  <w:vAlign w:val="center"/>
                </w:tcPr>
                <w:p>
                  <w:pPr>
                    <w:pStyle w:val="10"/>
                    <w:autoSpaceDE w:val="0"/>
                    <w:jc w:val="center"/>
                    <w:rPr>
                      <w:rFonts w:ascii="Times New Roman" w:hAnsi="Times New Roman" w:cs="Times New Roman"/>
                      <w:sz w:val="21"/>
                      <w:szCs w:val="21"/>
                      <w:lang w:bidi="ar"/>
                    </w:rPr>
                  </w:pPr>
                </w:p>
              </w:tc>
              <w:tc>
                <w:tcPr>
                  <w:tcW w:w="332" w:type="pct"/>
                  <w:vMerge w:val="continue"/>
                  <w:vAlign w:val="center"/>
                </w:tcPr>
                <w:p>
                  <w:pPr>
                    <w:pStyle w:val="10"/>
                    <w:autoSpaceDE w:val="0"/>
                    <w:jc w:val="center"/>
                    <w:rPr>
                      <w:rFonts w:ascii="Times New Roman" w:hAnsi="Times New Roman" w:cs="Times New Roman"/>
                      <w:sz w:val="21"/>
                      <w:szCs w:val="21"/>
                      <w:lang w:bidi="ar"/>
                    </w:rPr>
                  </w:pPr>
                </w:p>
              </w:tc>
              <w:tc>
                <w:tcPr>
                  <w:tcW w:w="413"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实测浓度(mg/m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折算浓度(mg/m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排放速率(Kg/h)</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实测浓度(mg/m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3"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折算浓度(mg/m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排放速率(Kg/h)</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实测浓度(mg/m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折算浓度(mg/m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排放速率(Kg/h)</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脱硝设施进口</w:t>
                  </w:r>
                </w:p>
              </w:tc>
              <w:tc>
                <w:tcPr>
                  <w:tcW w:w="32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1</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999</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14.95</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14.8</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0.015</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350.9</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716.5</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0.351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continue"/>
                  <w:vAlign w:val="center"/>
                </w:tcPr>
                <w:p>
                  <w:pPr>
                    <w:pStyle w:val="10"/>
                    <w:autoSpaceDE w:val="0"/>
                    <w:jc w:val="center"/>
                    <w:rPr>
                      <w:rFonts w:ascii="Times New Roman" w:hAnsi="Times New Roman" w:cs="Times New Roman"/>
                      <w:sz w:val="21"/>
                      <w:szCs w:val="21"/>
                      <w:lang w:bidi="ar"/>
                    </w:rPr>
                  </w:pPr>
                </w:p>
              </w:tc>
              <w:tc>
                <w:tcPr>
                  <w:tcW w:w="32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2</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1003</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15.06</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14.9</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0.015</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361.8</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752.4</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0.363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continue"/>
                  <w:vAlign w:val="center"/>
                </w:tcPr>
                <w:p>
                  <w:pPr>
                    <w:pStyle w:val="10"/>
                    <w:autoSpaceDE w:val="0"/>
                    <w:jc w:val="center"/>
                    <w:rPr>
                      <w:rFonts w:ascii="Times New Roman" w:hAnsi="Times New Roman" w:cs="Times New Roman"/>
                      <w:sz w:val="21"/>
                      <w:szCs w:val="21"/>
                      <w:lang w:bidi="ar"/>
                    </w:rPr>
                  </w:pPr>
                </w:p>
              </w:tc>
              <w:tc>
                <w:tcPr>
                  <w:tcW w:w="32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3</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940</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14.97</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14.7</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0.014</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365.8</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749.4</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0.344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continue"/>
                  <w:vAlign w:val="center"/>
                </w:tcPr>
                <w:p>
                  <w:pPr>
                    <w:pStyle w:val="10"/>
                    <w:autoSpaceDE w:val="0"/>
                    <w:jc w:val="center"/>
                    <w:rPr>
                      <w:rFonts w:ascii="Times New Roman" w:hAnsi="Times New Roman" w:cs="Times New Roman"/>
                      <w:sz w:val="21"/>
                      <w:szCs w:val="21"/>
                      <w:lang w:bidi="ar"/>
                    </w:rPr>
                  </w:pPr>
                </w:p>
              </w:tc>
              <w:tc>
                <w:tcPr>
                  <w:tcW w:w="32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平均值</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981</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14.99</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14.8</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0.015</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359.5</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738.9</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0.353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脱硝设施出口</w:t>
                  </w:r>
                </w:p>
              </w:tc>
              <w:tc>
                <w:tcPr>
                  <w:tcW w:w="32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1</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1038</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14.85</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10.4</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20.9</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0.011</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60.4</w:t>
                  </w:r>
                </w:p>
              </w:tc>
              <w:tc>
                <w:tcPr>
                  <w:tcW w:w="414" w:type="pct"/>
                  <w:shd w:val="clear" w:color="auto" w:fill="auto"/>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121.3</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0.063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continue"/>
                  <w:vAlign w:val="center"/>
                </w:tcPr>
                <w:p>
                  <w:pPr>
                    <w:pStyle w:val="10"/>
                    <w:autoSpaceDE w:val="0"/>
                    <w:jc w:val="center"/>
                    <w:rPr>
                      <w:rFonts w:ascii="Times New Roman" w:hAnsi="Times New Roman" w:cs="Times New Roman"/>
                      <w:sz w:val="21"/>
                      <w:szCs w:val="21"/>
                      <w:lang w:bidi="ar"/>
                    </w:rPr>
                  </w:pPr>
                </w:p>
              </w:tc>
              <w:tc>
                <w:tcPr>
                  <w:tcW w:w="32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2</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1023</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15.09</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10.7</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22.4</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0.011</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56.6</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118.3</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0.058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continue"/>
                  <w:vAlign w:val="center"/>
                </w:tcPr>
                <w:p>
                  <w:pPr>
                    <w:pStyle w:val="10"/>
                    <w:autoSpaceDE w:val="0"/>
                    <w:jc w:val="center"/>
                    <w:rPr>
                      <w:rFonts w:ascii="Times New Roman" w:hAnsi="Times New Roman" w:cs="Times New Roman"/>
                      <w:sz w:val="21"/>
                      <w:szCs w:val="21"/>
                      <w:lang w:bidi="ar"/>
                    </w:rPr>
                  </w:pPr>
                </w:p>
              </w:tc>
              <w:tc>
                <w:tcPr>
                  <w:tcW w:w="32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3</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1056</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14.80</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10.6</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21.1</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0.011</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58.1</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115.8</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0.061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93" w:type="pct"/>
                  <w:vMerge w:val="continue"/>
                  <w:vAlign w:val="center"/>
                </w:tcPr>
                <w:p>
                  <w:pPr>
                    <w:pStyle w:val="10"/>
                    <w:autoSpaceDE w:val="0"/>
                    <w:jc w:val="center"/>
                    <w:rPr>
                      <w:rFonts w:ascii="Times New Roman" w:hAnsi="Times New Roman" w:cs="Times New Roman"/>
                      <w:sz w:val="21"/>
                      <w:szCs w:val="21"/>
                      <w:lang w:bidi="ar"/>
                    </w:rPr>
                  </w:pPr>
                </w:p>
              </w:tc>
              <w:tc>
                <w:tcPr>
                  <w:tcW w:w="32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平均值</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1039</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14.91</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10.6</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21.5</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0.011</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58.4</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118.5</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0.061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22" w:type="pct"/>
                  <w:gridSpan w:val="2"/>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标准限值</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30</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3"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200</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300</w:t>
                  </w:r>
                </w:p>
              </w:tc>
              <w:tc>
                <w:tcPr>
                  <w:tcW w:w="41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22" w:type="pct"/>
                  <w:gridSpan w:val="2"/>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总量(t/a)</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41"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0.026</w:t>
                  </w:r>
                </w:p>
              </w:tc>
              <w:tc>
                <w:tcPr>
                  <w:tcW w:w="1241"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41"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0.146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22" w:type="pct"/>
                  <w:gridSpan w:val="2"/>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脱硝率(%)</w:t>
                  </w:r>
                </w:p>
              </w:tc>
              <w:tc>
                <w:tcPr>
                  <w:tcW w:w="322"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332"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41"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41"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41"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83</w:t>
                  </w:r>
                </w:p>
              </w:tc>
            </w:tr>
          </w:tbl>
          <w:p>
            <w:pPr>
              <w:spacing w:line="360" w:lineRule="auto"/>
              <w:ind w:firstLine="482"/>
              <w:jc w:val="center"/>
              <w:rPr>
                <w:b/>
                <w:bCs/>
                <w:szCs w:val="21"/>
              </w:rPr>
            </w:pPr>
          </w:p>
          <w:p>
            <w:pPr>
              <w:spacing w:line="360" w:lineRule="auto"/>
              <w:ind w:firstLine="482"/>
              <w:jc w:val="center"/>
              <w:rPr>
                <w:b/>
                <w:bCs/>
                <w:szCs w:val="21"/>
              </w:rPr>
            </w:pPr>
          </w:p>
          <w:p>
            <w:pPr>
              <w:spacing w:line="360" w:lineRule="auto"/>
              <w:ind w:firstLine="482"/>
              <w:jc w:val="center"/>
              <w:rPr>
                <w:b/>
                <w:bCs/>
                <w:szCs w:val="21"/>
              </w:rPr>
            </w:pPr>
          </w:p>
          <w:p>
            <w:pPr>
              <w:spacing w:line="360" w:lineRule="auto"/>
              <w:ind w:firstLine="482"/>
              <w:jc w:val="center"/>
              <w:rPr>
                <w:b/>
                <w:bCs/>
                <w:szCs w:val="21"/>
              </w:rPr>
            </w:pPr>
            <w:r>
              <w:rPr>
                <w:b/>
                <w:bCs/>
                <w:szCs w:val="21"/>
              </w:rPr>
              <w:t>表</w:t>
            </w:r>
            <w:r>
              <w:rPr>
                <w:rFonts w:hint="eastAsia"/>
                <w:b/>
                <w:bCs/>
                <w:szCs w:val="21"/>
              </w:rPr>
              <w:t>33</w:t>
            </w:r>
            <w:r>
              <w:rPr>
                <w:b/>
                <w:bCs/>
                <w:szCs w:val="21"/>
              </w:rPr>
              <w:t xml:space="preserve">  </w:t>
            </w:r>
            <w:r>
              <w:rPr>
                <w:rFonts w:hint="eastAsia"/>
                <w:b/>
                <w:bCs/>
                <w:szCs w:val="21"/>
              </w:rPr>
              <w:t>定襄县腾顺锻造厂脱硝设施</w:t>
            </w:r>
            <w:r>
              <w:rPr>
                <w:b/>
                <w:bCs/>
                <w:szCs w:val="21"/>
              </w:rPr>
              <w:t>进出口污染物监测结果</w:t>
            </w:r>
            <w:r>
              <w:rPr>
                <w:rFonts w:hint="eastAsia"/>
                <w:b/>
                <w:bCs/>
                <w:szCs w:val="21"/>
              </w:rPr>
              <w:t>（2021.1.20）</w:t>
            </w:r>
          </w:p>
          <w:tbl>
            <w:tblPr>
              <w:tblStyle w:val="12"/>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24"/>
              <w:gridCol w:w="846"/>
              <w:gridCol w:w="883"/>
              <w:gridCol w:w="752"/>
              <w:gridCol w:w="1051"/>
              <w:gridCol w:w="1051"/>
              <w:gridCol w:w="1033"/>
              <w:gridCol w:w="1034"/>
              <w:gridCol w:w="1052"/>
              <w:gridCol w:w="1070"/>
              <w:gridCol w:w="1070"/>
              <w:gridCol w:w="1070"/>
              <w:gridCol w:w="11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27" w:type="pct"/>
                  <w:gridSpan w:val="2"/>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监测日期</w:t>
                  </w:r>
                </w:p>
              </w:tc>
              <w:tc>
                <w:tcPr>
                  <w:tcW w:w="4373" w:type="pct"/>
                  <w:gridSpan w:val="11"/>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2020年</w:t>
                  </w:r>
                  <w:r>
                    <w:rPr>
                      <w:rFonts w:hint="eastAsia" w:ascii="Times New Roman" w:hAnsi="Times New Roman" w:cs="Times New Roman"/>
                      <w:sz w:val="21"/>
                      <w:szCs w:val="21"/>
                      <w:lang w:bidi="ar"/>
                    </w:rPr>
                    <w:t>1</w:t>
                  </w:r>
                  <w:r>
                    <w:rPr>
                      <w:rFonts w:ascii="Times New Roman" w:hAnsi="Times New Roman" w:cs="Times New Roman"/>
                      <w:sz w:val="21"/>
                      <w:szCs w:val="21"/>
                      <w:lang w:bidi="ar"/>
                    </w:rPr>
                    <w:t>月</w:t>
                  </w:r>
                  <w:r>
                    <w:rPr>
                      <w:rFonts w:hint="eastAsia" w:ascii="Times New Roman" w:hAnsi="Times New Roman" w:cs="Times New Roman"/>
                      <w:sz w:val="21"/>
                      <w:szCs w:val="21"/>
                      <w:lang w:bidi="ar"/>
                    </w:rPr>
                    <w:t>20</w:t>
                  </w:r>
                  <w:r>
                    <w:rPr>
                      <w:rFonts w:ascii="Times New Roman" w:hAnsi="Times New Roman" w:cs="Times New Roman"/>
                      <w:sz w:val="21"/>
                      <w:szCs w:val="21"/>
                      <w:lang w:bidi="ar"/>
                    </w:rPr>
                    <w:t>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测点位置</w:t>
                  </w:r>
                </w:p>
              </w:tc>
              <w:tc>
                <w:tcPr>
                  <w:tcW w:w="304" w:type="pct"/>
                  <w:vMerge w:val="restar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频次</w:t>
                  </w:r>
                </w:p>
              </w:tc>
              <w:tc>
                <w:tcPr>
                  <w:tcW w:w="346"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标态干排气量(m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/h)</w:t>
                  </w:r>
                </w:p>
              </w:tc>
              <w:tc>
                <w:tcPr>
                  <w:tcW w:w="295"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含氧量(%)</w:t>
                  </w:r>
                </w:p>
              </w:tc>
              <w:tc>
                <w:tcPr>
                  <w:tcW w:w="1225"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颗粒物</w:t>
                  </w:r>
                </w:p>
              </w:tc>
              <w:tc>
                <w:tcPr>
                  <w:tcW w:w="1233"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二氧化硫</w:t>
                  </w:r>
                </w:p>
              </w:tc>
              <w:tc>
                <w:tcPr>
                  <w:tcW w:w="1275"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氮氧化物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continue"/>
                  <w:vAlign w:val="center"/>
                </w:tcPr>
                <w:p>
                  <w:pPr>
                    <w:pStyle w:val="10"/>
                    <w:autoSpaceDE w:val="0"/>
                    <w:jc w:val="center"/>
                    <w:rPr>
                      <w:rFonts w:ascii="Times New Roman" w:hAnsi="Times New Roman" w:cs="Times New Roman"/>
                      <w:sz w:val="21"/>
                      <w:szCs w:val="21"/>
                      <w:lang w:bidi="ar"/>
                    </w:rPr>
                  </w:pPr>
                </w:p>
              </w:tc>
              <w:tc>
                <w:tcPr>
                  <w:tcW w:w="304" w:type="pct"/>
                  <w:vMerge w:val="continue"/>
                  <w:vAlign w:val="center"/>
                </w:tcPr>
                <w:p>
                  <w:pPr>
                    <w:pStyle w:val="10"/>
                    <w:autoSpaceDE w:val="0"/>
                    <w:jc w:val="center"/>
                    <w:rPr>
                      <w:rFonts w:ascii="Times New Roman" w:hAnsi="Times New Roman" w:cs="Times New Roman"/>
                      <w:sz w:val="21"/>
                      <w:szCs w:val="21"/>
                      <w:lang w:bidi="ar"/>
                    </w:rPr>
                  </w:pPr>
                </w:p>
              </w:tc>
              <w:tc>
                <w:tcPr>
                  <w:tcW w:w="346" w:type="pct"/>
                  <w:vMerge w:val="continue"/>
                  <w:vAlign w:val="center"/>
                </w:tcPr>
                <w:p>
                  <w:pPr>
                    <w:pStyle w:val="10"/>
                    <w:autoSpaceDE w:val="0"/>
                    <w:jc w:val="center"/>
                    <w:rPr>
                      <w:rFonts w:ascii="Times New Roman" w:hAnsi="Times New Roman" w:cs="Times New Roman"/>
                      <w:sz w:val="21"/>
                      <w:szCs w:val="21"/>
                      <w:lang w:bidi="ar"/>
                    </w:rPr>
                  </w:pPr>
                </w:p>
              </w:tc>
              <w:tc>
                <w:tcPr>
                  <w:tcW w:w="295" w:type="pct"/>
                  <w:vMerge w:val="continue"/>
                  <w:vAlign w:val="center"/>
                </w:tcPr>
                <w:p>
                  <w:pPr>
                    <w:pStyle w:val="10"/>
                    <w:autoSpaceDE w:val="0"/>
                    <w:jc w:val="center"/>
                    <w:rPr>
                      <w:rFonts w:ascii="Times New Roman" w:hAnsi="Times New Roman" w:cs="Times New Roman"/>
                      <w:sz w:val="21"/>
                      <w:szCs w:val="21"/>
                      <w:lang w:bidi="ar"/>
                    </w:rPr>
                  </w:pPr>
                </w:p>
              </w:tc>
              <w:tc>
                <w:tcPr>
                  <w:tcW w:w="411"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实测浓度(mg/m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1"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折算浓度(mg/m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0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排放速率(Kg/h)</w:t>
                  </w:r>
                </w:p>
              </w:tc>
              <w:tc>
                <w:tcPr>
                  <w:tcW w:w="404"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实测浓度(mg/m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1"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折算浓度(mg/m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8"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排放速率(Kg/h)</w:t>
                  </w:r>
                </w:p>
              </w:tc>
              <w:tc>
                <w:tcPr>
                  <w:tcW w:w="418"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实测浓度(mg/m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18"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折算浓度(mg/m</w:t>
                  </w:r>
                  <w:r>
                    <w:rPr>
                      <w:rFonts w:ascii="Times New Roman" w:hAnsi="Times New Roman" w:cs="Times New Roman"/>
                      <w:sz w:val="21"/>
                      <w:szCs w:val="21"/>
                      <w:vertAlign w:val="superscript"/>
                      <w:lang w:bidi="ar"/>
                    </w:rPr>
                    <w:t>3</w:t>
                  </w:r>
                  <w:r>
                    <w:rPr>
                      <w:rFonts w:ascii="Times New Roman" w:hAnsi="Times New Roman" w:cs="Times New Roman"/>
                      <w:sz w:val="21"/>
                      <w:szCs w:val="21"/>
                      <w:lang w:bidi="ar"/>
                    </w:rPr>
                    <w:t>)</w:t>
                  </w:r>
                </w:p>
              </w:tc>
              <w:tc>
                <w:tcPr>
                  <w:tcW w:w="439" w:type="pc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排放速率(Kg/h)</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脱硝设施进口</w:t>
                  </w:r>
                </w:p>
              </w:tc>
              <w:tc>
                <w:tcPr>
                  <w:tcW w:w="3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1</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955</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14.75</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14.8</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0.015</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346.7</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685.2</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0.345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continue"/>
                  <w:vAlign w:val="center"/>
                </w:tcPr>
                <w:p>
                  <w:pPr>
                    <w:pStyle w:val="10"/>
                    <w:autoSpaceDE w:val="0"/>
                    <w:jc w:val="center"/>
                    <w:rPr>
                      <w:rFonts w:ascii="Times New Roman" w:hAnsi="Times New Roman" w:cs="Times New Roman"/>
                      <w:sz w:val="21"/>
                      <w:szCs w:val="21"/>
                      <w:lang w:bidi="ar"/>
                    </w:rPr>
                  </w:pPr>
                </w:p>
              </w:tc>
              <w:tc>
                <w:tcPr>
                  <w:tcW w:w="3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2</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1002</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15.08</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15.2</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0.015</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349.3</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728.9</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0.350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continue"/>
                  <w:vAlign w:val="center"/>
                </w:tcPr>
                <w:p>
                  <w:pPr>
                    <w:pStyle w:val="10"/>
                    <w:autoSpaceDE w:val="0"/>
                    <w:jc w:val="center"/>
                    <w:rPr>
                      <w:rFonts w:ascii="Times New Roman" w:hAnsi="Times New Roman" w:cs="Times New Roman"/>
                      <w:sz w:val="21"/>
                      <w:szCs w:val="21"/>
                      <w:lang w:bidi="ar"/>
                    </w:rPr>
                  </w:pPr>
                </w:p>
              </w:tc>
              <w:tc>
                <w:tcPr>
                  <w:tcW w:w="3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3</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925</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14.93</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14.9</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0.014</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373.0</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759.1</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0.345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continue"/>
                  <w:vAlign w:val="center"/>
                </w:tcPr>
                <w:p>
                  <w:pPr>
                    <w:pStyle w:val="10"/>
                    <w:autoSpaceDE w:val="0"/>
                    <w:jc w:val="center"/>
                    <w:rPr>
                      <w:rFonts w:ascii="Times New Roman" w:hAnsi="Times New Roman" w:cs="Times New Roman"/>
                      <w:sz w:val="21"/>
                      <w:szCs w:val="21"/>
                      <w:lang w:bidi="ar"/>
                    </w:rPr>
                  </w:pPr>
                </w:p>
              </w:tc>
              <w:tc>
                <w:tcPr>
                  <w:tcW w:w="3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平均值</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974</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14.92</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15.0</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0.015</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356.3</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723.9</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0.347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restart"/>
                  <w:shd w:val="clear" w:color="auto" w:fill="auto"/>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脱硝设施出口</w:t>
                  </w:r>
                </w:p>
              </w:tc>
              <w:tc>
                <w:tcPr>
                  <w:tcW w:w="3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1</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1039</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14.88</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10.5</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21.2</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0.011</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55.1</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111.2</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continue"/>
                  <w:vAlign w:val="center"/>
                </w:tcPr>
                <w:p>
                  <w:pPr>
                    <w:pStyle w:val="10"/>
                    <w:autoSpaceDE w:val="0"/>
                    <w:jc w:val="center"/>
                    <w:rPr>
                      <w:rFonts w:ascii="Times New Roman" w:hAnsi="Times New Roman" w:cs="Times New Roman"/>
                      <w:sz w:val="21"/>
                      <w:szCs w:val="21"/>
                      <w:lang w:bidi="ar"/>
                    </w:rPr>
                  </w:pPr>
                </w:p>
              </w:tc>
              <w:tc>
                <w:tcPr>
                  <w:tcW w:w="3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2</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1027</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15.04</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10.6</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22.0</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0.011</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58.1</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120.4</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continue"/>
                  <w:vAlign w:val="center"/>
                </w:tcPr>
                <w:p>
                  <w:pPr>
                    <w:pStyle w:val="10"/>
                    <w:autoSpaceDE w:val="0"/>
                    <w:jc w:val="center"/>
                    <w:rPr>
                      <w:rFonts w:ascii="Times New Roman" w:hAnsi="Times New Roman" w:cs="Times New Roman"/>
                      <w:sz w:val="21"/>
                      <w:szCs w:val="21"/>
                      <w:lang w:bidi="ar"/>
                    </w:rPr>
                  </w:pPr>
                </w:p>
              </w:tc>
              <w:tc>
                <w:tcPr>
                  <w:tcW w:w="3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3</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1038</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14.75</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10.6</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21.0</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0.011</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&lt;3</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53.6</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105.9</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23" w:type="pct"/>
                  <w:vMerge w:val="continue"/>
                  <w:vAlign w:val="center"/>
                </w:tcPr>
                <w:p>
                  <w:pPr>
                    <w:pStyle w:val="10"/>
                    <w:autoSpaceDE w:val="0"/>
                    <w:jc w:val="center"/>
                    <w:rPr>
                      <w:rFonts w:ascii="Times New Roman" w:hAnsi="Times New Roman" w:cs="Times New Roman"/>
                      <w:sz w:val="21"/>
                      <w:szCs w:val="21"/>
                      <w:lang w:bidi="ar"/>
                    </w:rPr>
                  </w:pPr>
                </w:p>
              </w:tc>
              <w:tc>
                <w:tcPr>
                  <w:tcW w:w="3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平均值</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1035</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14.89</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10.6</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21.4</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0.011</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55.6</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112.5</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0.058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27" w:type="pct"/>
                  <w:gridSpan w:val="2"/>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标准限值</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30</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04"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1"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200</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418"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300</w:t>
                  </w:r>
                </w:p>
              </w:tc>
              <w:tc>
                <w:tcPr>
                  <w:tcW w:w="439"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27" w:type="pct"/>
                  <w:gridSpan w:val="2"/>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总量(t/a)</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25"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0.02</w:t>
                  </w:r>
                  <w:r>
                    <w:rPr>
                      <w:rFonts w:hint="eastAsia" w:ascii="Times New Roman" w:hAnsi="Times New Roman" w:cs="Times New Roman"/>
                      <w:sz w:val="21"/>
                      <w:szCs w:val="21"/>
                      <w:lang w:bidi="ar"/>
                    </w:rPr>
                    <w:t>6</w:t>
                  </w:r>
                </w:p>
              </w:tc>
              <w:tc>
                <w:tcPr>
                  <w:tcW w:w="1233"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75"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0.</w:t>
                  </w:r>
                  <w:r>
                    <w:rPr>
                      <w:rFonts w:hint="eastAsia" w:ascii="Times New Roman" w:hAnsi="Times New Roman" w:cs="Times New Roman"/>
                      <w:sz w:val="21"/>
                      <w:szCs w:val="21"/>
                      <w:lang w:bidi="ar"/>
                    </w:rPr>
                    <w:t>139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27" w:type="pct"/>
                  <w:gridSpan w:val="2"/>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脱硝率(%)</w:t>
                  </w:r>
                </w:p>
              </w:tc>
              <w:tc>
                <w:tcPr>
                  <w:tcW w:w="346"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295" w:type="pct"/>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25"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33"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ascii="Times New Roman" w:hAnsi="Times New Roman" w:cs="Times New Roman"/>
                      <w:sz w:val="21"/>
                      <w:szCs w:val="21"/>
                      <w:lang w:bidi="ar"/>
                    </w:rPr>
                    <w:t>—</w:t>
                  </w:r>
                </w:p>
              </w:tc>
              <w:tc>
                <w:tcPr>
                  <w:tcW w:w="1275" w:type="pct"/>
                  <w:gridSpan w:val="3"/>
                  <w:shd w:val="clear" w:color="auto" w:fill="auto"/>
                  <w:noWrap/>
                  <w:vAlign w:val="center"/>
                </w:tcPr>
                <w:p>
                  <w:pPr>
                    <w:pStyle w:val="10"/>
                    <w:autoSpaceDE w:val="0"/>
                    <w:jc w:val="center"/>
                    <w:rPr>
                      <w:rFonts w:ascii="Times New Roman" w:hAnsi="Times New Roman" w:cs="Times New Roman"/>
                      <w:sz w:val="21"/>
                      <w:szCs w:val="21"/>
                      <w:lang w:bidi="ar"/>
                    </w:rPr>
                  </w:pPr>
                  <w:r>
                    <w:rPr>
                      <w:rFonts w:hint="eastAsia" w:ascii="Times New Roman" w:hAnsi="Times New Roman" w:cs="Times New Roman"/>
                      <w:sz w:val="21"/>
                      <w:szCs w:val="21"/>
                      <w:lang w:bidi="ar"/>
                    </w:rPr>
                    <w:t>83</w:t>
                  </w:r>
                </w:p>
              </w:tc>
            </w:tr>
          </w:tbl>
          <w:p>
            <w:pPr>
              <w:adjustRightInd w:val="0"/>
              <w:snapToGrid w:val="0"/>
              <w:spacing w:line="360" w:lineRule="auto"/>
              <w:ind w:firstLine="480" w:firstLineChars="200"/>
              <w:rPr>
                <w:bCs/>
                <w:sz w:val="24"/>
              </w:rPr>
            </w:pPr>
          </w:p>
        </w:tc>
      </w:tr>
    </w:tbl>
    <w:p>
      <w:pPr>
        <w:adjustRightInd w:val="0"/>
        <w:snapToGrid w:val="0"/>
        <w:jc w:val="center"/>
        <w:rPr>
          <w:bCs/>
          <w:sz w:val="24"/>
        </w:rPr>
        <w:sectPr>
          <w:pgSz w:w="16838" w:h="11906" w:orient="landscape"/>
          <w:pgMar w:top="1531" w:right="1701" w:bottom="1531" w:left="1701" w:header="851" w:footer="1077" w:gutter="0"/>
          <w:cols w:space="720" w:num="1"/>
          <w:docGrid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8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64" w:hRule="atLeast"/>
        </w:trPr>
        <w:tc>
          <w:tcPr>
            <w:tcW w:w="534" w:type="dxa"/>
            <w:vAlign w:val="center"/>
          </w:tcPr>
          <w:p>
            <w:pPr>
              <w:adjustRightInd w:val="0"/>
              <w:snapToGrid w:val="0"/>
              <w:jc w:val="center"/>
              <w:rPr>
                <w:bCs/>
                <w:sz w:val="24"/>
              </w:rPr>
            </w:pPr>
            <w:r>
              <w:rPr>
                <w:bCs/>
                <w:sz w:val="24"/>
              </w:rPr>
              <w:t>运营期环境影响和保护措施</w:t>
            </w:r>
          </w:p>
        </w:tc>
        <w:tc>
          <w:tcPr>
            <w:tcW w:w="8526" w:type="dxa"/>
          </w:tcPr>
          <w:p>
            <w:pPr>
              <w:spacing w:line="360" w:lineRule="auto"/>
              <w:ind w:firstLine="482" w:firstLineChars="200"/>
              <w:rPr>
                <w:b/>
                <w:bCs/>
                <w:sz w:val="24"/>
              </w:rPr>
            </w:pPr>
            <w:r>
              <w:rPr>
                <w:b/>
                <w:bCs/>
                <w:sz w:val="24"/>
              </w:rPr>
              <w:t>二、废水污染影响分析</w:t>
            </w:r>
          </w:p>
          <w:p>
            <w:pPr>
              <w:spacing w:line="360" w:lineRule="auto"/>
              <w:jc w:val="center"/>
              <w:rPr>
                <w:b/>
                <w:bCs/>
                <w:szCs w:val="21"/>
              </w:rPr>
            </w:pPr>
            <w:r>
              <w:rPr>
                <w:b/>
                <w:bCs/>
                <w:szCs w:val="21"/>
              </w:rPr>
              <w:t>表</w:t>
            </w:r>
            <w:r>
              <w:rPr>
                <w:rFonts w:hint="eastAsia"/>
                <w:b/>
                <w:bCs/>
                <w:szCs w:val="21"/>
              </w:rPr>
              <w:t>34</w:t>
            </w:r>
            <w:r>
              <w:rPr>
                <w:b/>
                <w:bCs/>
                <w:szCs w:val="21"/>
              </w:rPr>
              <w:t xml:space="preserve">  废水污染排放及控制表</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74"/>
              <w:gridCol w:w="1276"/>
              <w:gridCol w:w="1196"/>
              <w:gridCol w:w="1135"/>
              <w:gridCol w:w="1135"/>
              <w:gridCol w:w="1276"/>
              <w:gridCol w:w="13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4" w:hRule="atLeast"/>
              </w:trPr>
              <w:tc>
                <w:tcPr>
                  <w:tcW w:w="874" w:type="dxa"/>
                  <w:vMerge w:val="restart"/>
                  <w:vAlign w:val="center"/>
                </w:tcPr>
                <w:p>
                  <w:pPr>
                    <w:jc w:val="center"/>
                    <w:rPr>
                      <w:szCs w:val="21"/>
                    </w:rPr>
                  </w:pPr>
                  <w:r>
                    <w:rPr>
                      <w:szCs w:val="21"/>
                    </w:rPr>
                    <w:t>产排污环节</w:t>
                  </w:r>
                </w:p>
              </w:tc>
              <w:tc>
                <w:tcPr>
                  <w:tcW w:w="1276" w:type="dxa"/>
                  <w:vMerge w:val="restart"/>
                  <w:vAlign w:val="center"/>
                </w:tcPr>
                <w:p>
                  <w:pPr>
                    <w:jc w:val="center"/>
                    <w:rPr>
                      <w:szCs w:val="21"/>
                    </w:rPr>
                  </w:pPr>
                  <w:r>
                    <w:rPr>
                      <w:szCs w:val="21"/>
                    </w:rPr>
                    <w:t>污染物种类</w:t>
                  </w:r>
                </w:p>
              </w:tc>
              <w:tc>
                <w:tcPr>
                  <w:tcW w:w="2268" w:type="dxa"/>
                  <w:gridSpan w:val="2"/>
                  <w:vAlign w:val="center"/>
                </w:tcPr>
                <w:p>
                  <w:pPr>
                    <w:jc w:val="center"/>
                    <w:rPr>
                      <w:szCs w:val="21"/>
                    </w:rPr>
                  </w:pPr>
                  <w:r>
                    <w:rPr>
                      <w:szCs w:val="21"/>
                    </w:rPr>
                    <w:t>污染物产生量及浓度</w:t>
                  </w:r>
                </w:p>
              </w:tc>
              <w:tc>
                <w:tcPr>
                  <w:tcW w:w="1134" w:type="dxa"/>
                  <w:vMerge w:val="restart"/>
                  <w:vAlign w:val="center"/>
                </w:tcPr>
                <w:p>
                  <w:pPr>
                    <w:jc w:val="center"/>
                    <w:rPr>
                      <w:szCs w:val="21"/>
                    </w:rPr>
                  </w:pPr>
                  <w:r>
                    <w:rPr>
                      <w:szCs w:val="21"/>
                    </w:rPr>
                    <w:t>治理措施</w:t>
                  </w:r>
                </w:p>
              </w:tc>
              <w:tc>
                <w:tcPr>
                  <w:tcW w:w="1275" w:type="dxa"/>
                  <w:vMerge w:val="restart"/>
                  <w:vAlign w:val="center"/>
                </w:tcPr>
                <w:p>
                  <w:pPr>
                    <w:jc w:val="center"/>
                    <w:rPr>
                      <w:szCs w:val="21"/>
                    </w:rPr>
                  </w:pPr>
                  <w:r>
                    <w:rPr>
                      <w:szCs w:val="21"/>
                    </w:rPr>
                    <w:t>废水排放量</w:t>
                  </w:r>
                </w:p>
              </w:tc>
              <w:tc>
                <w:tcPr>
                  <w:tcW w:w="1387" w:type="dxa"/>
                  <w:vMerge w:val="restart"/>
                  <w:vAlign w:val="center"/>
                </w:tcPr>
                <w:p>
                  <w:pPr>
                    <w:jc w:val="center"/>
                    <w:rPr>
                      <w:szCs w:val="21"/>
                    </w:rPr>
                  </w:pPr>
                  <w:r>
                    <w:rPr>
                      <w:szCs w:val="21"/>
                    </w:rPr>
                    <w:t>污染物排放量和浓度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874" w:type="dxa"/>
                  <w:vMerge w:val="continue"/>
                  <w:vAlign w:val="center"/>
                </w:tcPr>
                <w:p>
                  <w:pPr>
                    <w:jc w:val="center"/>
                    <w:rPr>
                      <w:szCs w:val="21"/>
                    </w:rPr>
                  </w:pPr>
                </w:p>
              </w:tc>
              <w:tc>
                <w:tcPr>
                  <w:tcW w:w="1276" w:type="dxa"/>
                  <w:vMerge w:val="continue"/>
                  <w:vAlign w:val="center"/>
                </w:tcPr>
                <w:p>
                  <w:pPr>
                    <w:jc w:val="center"/>
                    <w:rPr>
                      <w:szCs w:val="21"/>
                    </w:rPr>
                  </w:pPr>
                </w:p>
              </w:tc>
              <w:tc>
                <w:tcPr>
                  <w:tcW w:w="1134" w:type="dxa"/>
                  <w:vAlign w:val="center"/>
                </w:tcPr>
                <w:p>
                  <w:pPr>
                    <w:jc w:val="center"/>
                    <w:rPr>
                      <w:szCs w:val="21"/>
                    </w:rPr>
                  </w:pPr>
                  <w:r>
                    <w:rPr>
                      <w:szCs w:val="21"/>
                    </w:rPr>
                    <w:t>浓度（mg/m</w:t>
                  </w:r>
                  <w:r>
                    <w:rPr>
                      <w:szCs w:val="21"/>
                      <w:vertAlign w:val="superscript"/>
                    </w:rPr>
                    <w:t>3</w:t>
                  </w:r>
                  <w:r>
                    <w:rPr>
                      <w:szCs w:val="21"/>
                    </w:rPr>
                    <w:t>）</w:t>
                  </w:r>
                </w:p>
              </w:tc>
              <w:tc>
                <w:tcPr>
                  <w:tcW w:w="1134" w:type="dxa"/>
                  <w:vAlign w:val="center"/>
                </w:tcPr>
                <w:p>
                  <w:pPr>
                    <w:jc w:val="center"/>
                    <w:rPr>
                      <w:szCs w:val="21"/>
                    </w:rPr>
                  </w:pPr>
                  <w:r>
                    <w:rPr>
                      <w:szCs w:val="21"/>
                    </w:rPr>
                    <w:t>产生量（m</w:t>
                  </w:r>
                  <w:r>
                    <w:rPr>
                      <w:szCs w:val="21"/>
                      <w:vertAlign w:val="superscript"/>
                    </w:rPr>
                    <w:t>3</w:t>
                  </w:r>
                  <w:r>
                    <w:rPr>
                      <w:szCs w:val="21"/>
                    </w:rPr>
                    <w:t>/a）</w:t>
                  </w:r>
                </w:p>
              </w:tc>
              <w:tc>
                <w:tcPr>
                  <w:tcW w:w="1134" w:type="dxa"/>
                  <w:vMerge w:val="continue"/>
                  <w:vAlign w:val="center"/>
                </w:tcPr>
                <w:p>
                  <w:pPr>
                    <w:jc w:val="center"/>
                    <w:rPr>
                      <w:szCs w:val="21"/>
                    </w:rPr>
                  </w:pPr>
                </w:p>
              </w:tc>
              <w:tc>
                <w:tcPr>
                  <w:tcW w:w="1275" w:type="dxa"/>
                  <w:vMerge w:val="continue"/>
                  <w:vAlign w:val="center"/>
                </w:tcPr>
                <w:p>
                  <w:pPr>
                    <w:jc w:val="center"/>
                    <w:rPr>
                      <w:szCs w:val="21"/>
                    </w:rPr>
                  </w:pPr>
                </w:p>
              </w:tc>
              <w:tc>
                <w:tcPr>
                  <w:tcW w:w="1387"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7" w:hRule="atLeast"/>
              </w:trPr>
              <w:tc>
                <w:tcPr>
                  <w:tcW w:w="874" w:type="dxa"/>
                  <w:vAlign w:val="center"/>
                </w:tcPr>
                <w:p>
                  <w:pPr>
                    <w:jc w:val="center"/>
                    <w:rPr>
                      <w:szCs w:val="21"/>
                    </w:rPr>
                  </w:pPr>
                  <w:r>
                    <w:rPr>
                      <w:szCs w:val="21"/>
                    </w:rPr>
                    <w:t>职工日常生活</w:t>
                  </w:r>
                </w:p>
              </w:tc>
              <w:tc>
                <w:tcPr>
                  <w:tcW w:w="1276" w:type="dxa"/>
                  <w:vAlign w:val="center"/>
                </w:tcPr>
                <w:p>
                  <w:pPr>
                    <w:jc w:val="center"/>
                    <w:rPr>
                      <w:szCs w:val="21"/>
                    </w:rPr>
                  </w:pPr>
                  <w:r>
                    <w:rPr>
                      <w:szCs w:val="21"/>
                    </w:rPr>
                    <w:t>COD、氨氮、SS等</w:t>
                  </w:r>
                </w:p>
              </w:tc>
              <w:tc>
                <w:tcPr>
                  <w:tcW w:w="1134" w:type="dxa"/>
                  <w:vAlign w:val="center"/>
                </w:tcPr>
                <w:p>
                  <w:pPr>
                    <w:jc w:val="center"/>
                    <w:rPr>
                      <w:szCs w:val="21"/>
                    </w:rPr>
                  </w:pPr>
                  <w:r>
                    <w:rPr>
                      <w:szCs w:val="21"/>
                    </w:rPr>
                    <w:t>/</w:t>
                  </w:r>
                </w:p>
              </w:tc>
              <w:tc>
                <w:tcPr>
                  <w:tcW w:w="1134" w:type="dxa"/>
                  <w:vAlign w:val="center"/>
                </w:tcPr>
                <w:p>
                  <w:pPr>
                    <w:jc w:val="center"/>
                    <w:rPr>
                      <w:szCs w:val="21"/>
                    </w:rPr>
                  </w:pPr>
                  <w:r>
                    <w:rPr>
                      <w:rFonts w:hint="eastAsia"/>
                      <w:szCs w:val="21"/>
                    </w:rPr>
                    <w:t>216</w:t>
                  </w:r>
                </w:p>
              </w:tc>
              <w:tc>
                <w:tcPr>
                  <w:tcW w:w="1134" w:type="dxa"/>
                  <w:vAlign w:val="center"/>
                </w:tcPr>
                <w:p>
                  <w:pPr>
                    <w:jc w:val="center"/>
                    <w:rPr>
                      <w:szCs w:val="21"/>
                    </w:rPr>
                  </w:pPr>
                  <w:r>
                    <w:rPr>
                      <w:szCs w:val="21"/>
                    </w:rPr>
                    <w:t>用于厂内洒水抑尘</w:t>
                  </w:r>
                </w:p>
              </w:tc>
              <w:tc>
                <w:tcPr>
                  <w:tcW w:w="1275" w:type="dxa"/>
                  <w:vAlign w:val="center"/>
                </w:tcPr>
                <w:p>
                  <w:pPr>
                    <w:jc w:val="center"/>
                    <w:rPr>
                      <w:szCs w:val="21"/>
                    </w:rPr>
                  </w:pPr>
                  <w:r>
                    <w:rPr>
                      <w:szCs w:val="21"/>
                    </w:rPr>
                    <w:t>/</w:t>
                  </w:r>
                </w:p>
              </w:tc>
              <w:tc>
                <w:tcPr>
                  <w:tcW w:w="1387" w:type="dxa"/>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50" w:type="dxa"/>
                  <w:gridSpan w:val="2"/>
                  <w:vAlign w:val="center"/>
                </w:tcPr>
                <w:p>
                  <w:pPr>
                    <w:jc w:val="center"/>
                    <w:rPr>
                      <w:szCs w:val="21"/>
                    </w:rPr>
                  </w:pPr>
                  <w:r>
                    <w:rPr>
                      <w:szCs w:val="21"/>
                    </w:rPr>
                    <w:t>排放方式</w:t>
                  </w:r>
                </w:p>
              </w:tc>
              <w:tc>
                <w:tcPr>
                  <w:tcW w:w="2268" w:type="dxa"/>
                  <w:gridSpan w:val="2"/>
                  <w:vAlign w:val="center"/>
                </w:tcPr>
                <w:p>
                  <w:pPr>
                    <w:jc w:val="center"/>
                    <w:rPr>
                      <w:szCs w:val="21"/>
                    </w:rPr>
                  </w:pPr>
                  <w:r>
                    <w:rPr>
                      <w:szCs w:val="21"/>
                    </w:rPr>
                    <w:t>排放去向</w:t>
                  </w:r>
                </w:p>
              </w:tc>
              <w:tc>
                <w:tcPr>
                  <w:tcW w:w="1134" w:type="dxa"/>
                  <w:vAlign w:val="center"/>
                </w:tcPr>
                <w:p>
                  <w:pPr>
                    <w:jc w:val="center"/>
                    <w:rPr>
                      <w:szCs w:val="21"/>
                    </w:rPr>
                  </w:pPr>
                  <w:r>
                    <w:rPr>
                      <w:szCs w:val="21"/>
                    </w:rPr>
                    <w:t>排放规律</w:t>
                  </w:r>
                </w:p>
              </w:tc>
              <w:tc>
                <w:tcPr>
                  <w:tcW w:w="2662" w:type="dxa"/>
                  <w:gridSpan w:val="2"/>
                  <w:vAlign w:val="center"/>
                </w:tcPr>
                <w:p>
                  <w:pPr>
                    <w:jc w:val="center"/>
                    <w:rPr>
                      <w:szCs w:val="21"/>
                    </w:rPr>
                  </w:pPr>
                  <w:r>
                    <w:rPr>
                      <w:szCs w:val="21"/>
                    </w:rPr>
                    <w:t>排放口基本情况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50" w:type="dxa"/>
                  <w:gridSpan w:val="2"/>
                  <w:vAlign w:val="center"/>
                </w:tcPr>
                <w:p>
                  <w:pPr>
                    <w:jc w:val="center"/>
                    <w:rPr>
                      <w:szCs w:val="21"/>
                    </w:rPr>
                  </w:pPr>
                  <w:r>
                    <w:rPr>
                      <w:szCs w:val="21"/>
                    </w:rPr>
                    <w:t>/</w:t>
                  </w:r>
                </w:p>
              </w:tc>
              <w:tc>
                <w:tcPr>
                  <w:tcW w:w="2268" w:type="dxa"/>
                  <w:gridSpan w:val="2"/>
                  <w:vAlign w:val="center"/>
                </w:tcPr>
                <w:p>
                  <w:pPr>
                    <w:jc w:val="center"/>
                    <w:rPr>
                      <w:szCs w:val="21"/>
                    </w:rPr>
                  </w:pPr>
                  <w:r>
                    <w:rPr>
                      <w:szCs w:val="21"/>
                    </w:rPr>
                    <w:t>/</w:t>
                  </w:r>
                </w:p>
              </w:tc>
              <w:tc>
                <w:tcPr>
                  <w:tcW w:w="1134" w:type="dxa"/>
                  <w:vAlign w:val="center"/>
                </w:tcPr>
                <w:p>
                  <w:pPr>
                    <w:jc w:val="center"/>
                    <w:rPr>
                      <w:szCs w:val="21"/>
                    </w:rPr>
                  </w:pPr>
                  <w:r>
                    <w:rPr>
                      <w:szCs w:val="21"/>
                    </w:rPr>
                    <w:t>/</w:t>
                  </w:r>
                </w:p>
              </w:tc>
              <w:tc>
                <w:tcPr>
                  <w:tcW w:w="2662" w:type="dxa"/>
                  <w:gridSpan w:val="2"/>
                  <w:vAlign w:val="center"/>
                </w:tcPr>
                <w:p>
                  <w:pPr>
                    <w:jc w:val="center"/>
                    <w:rPr>
                      <w:szCs w:val="21"/>
                    </w:rPr>
                  </w:pPr>
                  <w:r>
                    <w:rPr>
                      <w:szCs w:val="21"/>
                    </w:rPr>
                    <w:t>无排口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18" w:type="dxa"/>
                  <w:gridSpan w:val="4"/>
                  <w:vMerge w:val="restart"/>
                  <w:vAlign w:val="center"/>
                </w:tcPr>
                <w:p>
                  <w:pPr>
                    <w:jc w:val="center"/>
                    <w:rPr>
                      <w:szCs w:val="21"/>
                    </w:rPr>
                  </w:pPr>
                  <w:r>
                    <w:rPr>
                      <w:szCs w:val="21"/>
                    </w:rPr>
                    <w:t>排放标准</w:t>
                  </w:r>
                </w:p>
              </w:tc>
              <w:tc>
                <w:tcPr>
                  <w:tcW w:w="3796" w:type="dxa"/>
                  <w:gridSpan w:val="3"/>
                  <w:vAlign w:val="center"/>
                </w:tcPr>
                <w:p>
                  <w:pPr>
                    <w:jc w:val="center"/>
                    <w:rPr>
                      <w:szCs w:val="21"/>
                    </w:rPr>
                  </w:pPr>
                  <w:r>
                    <w:rPr>
                      <w:szCs w:val="21"/>
                    </w:rPr>
                    <w:t>监测要求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18" w:type="dxa"/>
                  <w:gridSpan w:val="4"/>
                  <w:vMerge w:val="continue"/>
                  <w:vAlign w:val="center"/>
                </w:tcPr>
                <w:p>
                  <w:pPr>
                    <w:jc w:val="center"/>
                    <w:rPr>
                      <w:szCs w:val="21"/>
                    </w:rPr>
                  </w:pPr>
                </w:p>
              </w:tc>
              <w:tc>
                <w:tcPr>
                  <w:tcW w:w="1134" w:type="dxa"/>
                  <w:vAlign w:val="center"/>
                </w:tcPr>
                <w:p>
                  <w:pPr>
                    <w:jc w:val="center"/>
                    <w:rPr>
                      <w:szCs w:val="21"/>
                    </w:rPr>
                  </w:pPr>
                  <w:r>
                    <w:rPr>
                      <w:szCs w:val="21"/>
                    </w:rPr>
                    <w:t>监测点位</w:t>
                  </w:r>
                </w:p>
              </w:tc>
              <w:tc>
                <w:tcPr>
                  <w:tcW w:w="1275" w:type="dxa"/>
                  <w:vAlign w:val="center"/>
                </w:tcPr>
                <w:p>
                  <w:pPr>
                    <w:jc w:val="center"/>
                    <w:rPr>
                      <w:szCs w:val="21"/>
                    </w:rPr>
                  </w:pPr>
                  <w:r>
                    <w:rPr>
                      <w:szCs w:val="21"/>
                    </w:rPr>
                    <w:t>监测因子</w:t>
                  </w:r>
                </w:p>
              </w:tc>
              <w:tc>
                <w:tcPr>
                  <w:tcW w:w="1387" w:type="dxa"/>
                  <w:vAlign w:val="center"/>
                </w:tcPr>
                <w:p>
                  <w:pPr>
                    <w:jc w:val="center"/>
                    <w:rPr>
                      <w:szCs w:val="21"/>
                    </w:rPr>
                  </w:pPr>
                  <w:r>
                    <w:rPr>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418" w:type="dxa"/>
                  <w:gridSpan w:val="4"/>
                  <w:vAlign w:val="center"/>
                </w:tcPr>
                <w:p>
                  <w:pPr>
                    <w:jc w:val="center"/>
                    <w:rPr>
                      <w:szCs w:val="21"/>
                    </w:rPr>
                  </w:pPr>
                  <w:r>
                    <w:rPr>
                      <w:szCs w:val="21"/>
                    </w:rPr>
                    <w:t>/</w:t>
                  </w:r>
                </w:p>
              </w:tc>
              <w:tc>
                <w:tcPr>
                  <w:tcW w:w="3796" w:type="dxa"/>
                  <w:gridSpan w:val="3"/>
                  <w:vAlign w:val="center"/>
                </w:tcPr>
                <w:p>
                  <w:pPr>
                    <w:jc w:val="center"/>
                    <w:rPr>
                      <w:szCs w:val="21"/>
                    </w:rPr>
                  </w:pPr>
                  <w:r>
                    <w:rPr>
                      <w:szCs w:val="21"/>
                    </w:rPr>
                    <w:t>/</w:t>
                  </w:r>
                </w:p>
              </w:tc>
            </w:tr>
          </w:tbl>
          <w:p>
            <w:pPr>
              <w:spacing w:line="360" w:lineRule="auto"/>
              <w:ind w:firstLine="482" w:firstLineChars="200"/>
              <w:rPr>
                <w:b/>
                <w:bCs/>
                <w:sz w:val="24"/>
              </w:rPr>
            </w:pPr>
            <w:r>
              <w:rPr>
                <w:b/>
                <w:bCs/>
                <w:sz w:val="24"/>
              </w:rPr>
              <w:t>废水污染源强核算：</w:t>
            </w:r>
          </w:p>
          <w:p>
            <w:pPr>
              <w:spacing w:line="360" w:lineRule="auto"/>
              <w:ind w:firstLine="480" w:firstLineChars="200"/>
              <w:rPr>
                <w:bCs/>
                <w:spacing w:val="4"/>
                <w:sz w:val="24"/>
              </w:rPr>
            </w:pPr>
            <w:r>
              <w:rPr>
                <w:bCs/>
                <w:sz w:val="24"/>
              </w:rPr>
              <w:t>项目一期工程劳动定员15人，用水定额按照30L/人d，年工作时间为</w:t>
            </w:r>
            <w:r>
              <w:rPr>
                <w:rFonts w:hint="eastAsia"/>
                <w:bCs/>
                <w:sz w:val="24"/>
              </w:rPr>
              <w:t>300</w:t>
            </w:r>
            <w:r>
              <w:rPr>
                <w:bCs/>
                <w:sz w:val="24"/>
              </w:rPr>
              <w:t>d，日用水量为0.45m</w:t>
            </w:r>
            <w:r>
              <w:rPr>
                <w:bCs/>
                <w:sz w:val="24"/>
                <w:vertAlign w:val="superscript"/>
              </w:rPr>
              <w:t>3</w:t>
            </w:r>
            <w:r>
              <w:rPr>
                <w:bCs/>
                <w:sz w:val="24"/>
              </w:rPr>
              <w:t>/d，年用水量为90m</w:t>
            </w:r>
            <w:r>
              <w:rPr>
                <w:bCs/>
                <w:sz w:val="24"/>
                <w:vertAlign w:val="superscript"/>
              </w:rPr>
              <w:t>3</w:t>
            </w:r>
            <w:r>
              <w:rPr>
                <w:bCs/>
                <w:sz w:val="24"/>
              </w:rPr>
              <w:t>/d，</w:t>
            </w:r>
            <w:r>
              <w:rPr>
                <w:bCs/>
                <w:spacing w:val="4"/>
                <w:sz w:val="24"/>
              </w:rPr>
              <w:t>生活污水按照用水量的80%计算，则排放量为0.36m</w:t>
            </w:r>
            <w:r>
              <w:rPr>
                <w:bCs/>
                <w:spacing w:val="4"/>
                <w:sz w:val="24"/>
                <w:vertAlign w:val="superscript"/>
              </w:rPr>
              <w:t>3</w:t>
            </w:r>
            <w:r>
              <w:rPr>
                <w:bCs/>
                <w:spacing w:val="4"/>
                <w:sz w:val="24"/>
              </w:rPr>
              <w:t>/d（</w:t>
            </w:r>
            <w:r>
              <w:rPr>
                <w:rFonts w:hint="eastAsia"/>
                <w:bCs/>
                <w:spacing w:val="4"/>
                <w:sz w:val="24"/>
              </w:rPr>
              <w:t>108</w:t>
            </w:r>
            <w:r>
              <w:rPr>
                <w:bCs/>
                <w:spacing w:val="4"/>
                <w:sz w:val="24"/>
              </w:rPr>
              <w:t>m</w:t>
            </w:r>
            <w:r>
              <w:rPr>
                <w:bCs/>
                <w:spacing w:val="4"/>
                <w:sz w:val="24"/>
                <w:vertAlign w:val="superscript"/>
              </w:rPr>
              <w:t>3</w:t>
            </w:r>
            <w:r>
              <w:rPr>
                <w:bCs/>
                <w:spacing w:val="4"/>
                <w:sz w:val="24"/>
              </w:rPr>
              <w:t>/a）。</w:t>
            </w:r>
          </w:p>
          <w:p>
            <w:pPr>
              <w:spacing w:line="360" w:lineRule="auto"/>
              <w:ind w:firstLine="496" w:firstLineChars="200"/>
              <w:rPr>
                <w:bCs/>
                <w:sz w:val="24"/>
              </w:rPr>
            </w:pPr>
            <w:r>
              <w:rPr>
                <w:bCs/>
                <w:spacing w:val="4"/>
                <w:sz w:val="24"/>
              </w:rPr>
              <w:t>项目二期工程新增劳动定员15人，</w:t>
            </w:r>
            <w:r>
              <w:rPr>
                <w:bCs/>
                <w:sz w:val="24"/>
              </w:rPr>
              <w:t>用水定额按照30L/人d，年工作时间为300d，二期工程日新增用水量为0.</w:t>
            </w:r>
            <w:r>
              <w:rPr>
                <w:rFonts w:hint="eastAsia"/>
                <w:bCs/>
                <w:sz w:val="24"/>
              </w:rPr>
              <w:t>45</w:t>
            </w:r>
            <w:r>
              <w:rPr>
                <w:bCs/>
                <w:sz w:val="24"/>
              </w:rPr>
              <w:t>m</w:t>
            </w:r>
            <w:r>
              <w:rPr>
                <w:bCs/>
                <w:sz w:val="24"/>
                <w:vertAlign w:val="superscript"/>
              </w:rPr>
              <w:t>3</w:t>
            </w:r>
            <w:r>
              <w:rPr>
                <w:bCs/>
                <w:sz w:val="24"/>
              </w:rPr>
              <w:t>/d（</w:t>
            </w:r>
            <w:r>
              <w:rPr>
                <w:rFonts w:hint="eastAsia"/>
                <w:bCs/>
                <w:sz w:val="24"/>
              </w:rPr>
              <w:t>135</w:t>
            </w:r>
            <w:r>
              <w:rPr>
                <w:bCs/>
                <w:sz w:val="24"/>
              </w:rPr>
              <w:t>m</w:t>
            </w:r>
            <w:r>
              <w:rPr>
                <w:bCs/>
                <w:sz w:val="24"/>
                <w:vertAlign w:val="superscript"/>
              </w:rPr>
              <w:t>3</w:t>
            </w:r>
            <w:r>
              <w:rPr>
                <w:bCs/>
                <w:sz w:val="24"/>
              </w:rPr>
              <w:t>/a）</w:t>
            </w:r>
            <w:r>
              <w:rPr>
                <w:rFonts w:hint="eastAsia"/>
                <w:bCs/>
                <w:sz w:val="24"/>
              </w:rPr>
              <w:t>，</w:t>
            </w:r>
            <w:r>
              <w:rPr>
                <w:bCs/>
                <w:spacing w:val="4"/>
                <w:sz w:val="24"/>
              </w:rPr>
              <w:t>生活污水按照用水量的80%计算，</w:t>
            </w:r>
            <w:r>
              <w:rPr>
                <w:bCs/>
                <w:sz w:val="24"/>
              </w:rPr>
              <w:t>则职工生活污水量为0.</w:t>
            </w:r>
            <w:r>
              <w:rPr>
                <w:rFonts w:hint="eastAsia"/>
                <w:bCs/>
                <w:sz w:val="24"/>
              </w:rPr>
              <w:t>36</w:t>
            </w:r>
            <w:r>
              <w:rPr>
                <w:bCs/>
                <w:sz w:val="24"/>
              </w:rPr>
              <w:t>m</w:t>
            </w:r>
            <w:r>
              <w:rPr>
                <w:bCs/>
                <w:sz w:val="24"/>
                <w:vertAlign w:val="superscript"/>
              </w:rPr>
              <w:t>3</w:t>
            </w:r>
            <w:r>
              <w:rPr>
                <w:bCs/>
                <w:sz w:val="24"/>
              </w:rPr>
              <w:t>/d(1</w:t>
            </w:r>
            <w:r>
              <w:rPr>
                <w:rFonts w:hint="eastAsia"/>
                <w:bCs/>
                <w:sz w:val="24"/>
              </w:rPr>
              <w:t>08</w:t>
            </w:r>
            <w:r>
              <w:rPr>
                <w:bCs/>
                <w:sz w:val="24"/>
              </w:rPr>
              <w:t>m</w:t>
            </w:r>
            <w:r>
              <w:rPr>
                <w:bCs/>
                <w:sz w:val="24"/>
                <w:vertAlign w:val="superscript"/>
              </w:rPr>
              <w:t>3</w:t>
            </w:r>
            <w:r>
              <w:rPr>
                <w:bCs/>
                <w:sz w:val="24"/>
              </w:rPr>
              <w:t>/a)</w:t>
            </w:r>
            <w:r>
              <w:rPr>
                <w:rFonts w:hint="eastAsia"/>
                <w:bCs/>
                <w:sz w:val="24"/>
              </w:rPr>
              <w:t>。</w:t>
            </w:r>
          </w:p>
          <w:p>
            <w:pPr>
              <w:spacing w:line="360" w:lineRule="auto"/>
              <w:ind w:firstLine="496" w:firstLineChars="200"/>
              <w:rPr>
                <w:sz w:val="24"/>
              </w:rPr>
            </w:pPr>
            <w:r>
              <w:rPr>
                <w:bCs/>
                <w:spacing w:val="4"/>
                <w:sz w:val="24"/>
              </w:rPr>
              <w:t>生活废水产生量很少，且水质简单，随即厂区洒水抑尘。</w:t>
            </w:r>
          </w:p>
          <w:p>
            <w:pPr>
              <w:adjustRightInd w:val="0"/>
              <w:snapToGrid w:val="0"/>
              <w:jc w:val="center"/>
              <w:rPr>
                <w:bCs/>
                <w:sz w:val="24"/>
              </w:rPr>
            </w:pPr>
          </w:p>
        </w:tc>
      </w:tr>
    </w:tbl>
    <w:p>
      <w:pPr>
        <w:adjustRightInd w:val="0"/>
        <w:snapToGrid w:val="0"/>
        <w:jc w:val="center"/>
        <w:rPr>
          <w:bCs/>
          <w:sz w:val="24"/>
        </w:rPr>
        <w:sectPr>
          <w:pgSz w:w="11906" w:h="16838"/>
          <w:pgMar w:top="1701" w:right="1531" w:bottom="1701" w:left="1531" w:header="851" w:footer="1077" w:gutter="0"/>
          <w:cols w:space="720" w:num="1"/>
          <w:docGrid w:linePitch="312" w:charSpace="0"/>
        </w:sectPr>
      </w:pPr>
    </w:p>
    <w:tbl>
      <w:tblPr>
        <w:tblStyle w:val="13"/>
        <w:tblW w:w="137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
        <w:gridCol w:w="13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vAlign w:val="center"/>
          </w:tcPr>
          <w:p>
            <w:pPr>
              <w:adjustRightInd w:val="0"/>
              <w:snapToGrid w:val="0"/>
              <w:jc w:val="center"/>
              <w:rPr>
                <w:bCs/>
                <w:sz w:val="24"/>
              </w:rPr>
            </w:pPr>
            <w:r>
              <w:rPr>
                <w:bCs/>
                <w:sz w:val="24"/>
              </w:rPr>
              <w:t>运营期环境影响和保护措施</w:t>
            </w:r>
          </w:p>
        </w:tc>
        <w:tc>
          <w:tcPr>
            <w:tcW w:w="13196" w:type="dxa"/>
          </w:tcPr>
          <w:p>
            <w:pPr>
              <w:spacing w:line="360" w:lineRule="auto"/>
              <w:ind w:firstLine="482" w:firstLineChars="200"/>
              <w:rPr>
                <w:b/>
                <w:bCs/>
                <w:sz w:val="24"/>
              </w:rPr>
            </w:pPr>
            <w:r>
              <w:rPr>
                <w:b/>
                <w:bCs/>
                <w:sz w:val="24"/>
              </w:rPr>
              <w:t>三、噪声影响分析</w:t>
            </w:r>
          </w:p>
          <w:p>
            <w:pPr>
              <w:adjustRightInd w:val="0"/>
              <w:snapToGrid w:val="0"/>
              <w:jc w:val="center"/>
              <w:rPr>
                <w:b/>
                <w:szCs w:val="21"/>
              </w:rPr>
            </w:pPr>
            <w:r>
              <w:rPr>
                <w:b/>
                <w:szCs w:val="21"/>
              </w:rPr>
              <w:t>表</w:t>
            </w:r>
            <w:r>
              <w:rPr>
                <w:rFonts w:hint="eastAsia"/>
                <w:b/>
                <w:szCs w:val="21"/>
              </w:rPr>
              <w:t>35</w:t>
            </w:r>
            <w:r>
              <w:rPr>
                <w:b/>
                <w:szCs w:val="21"/>
              </w:rPr>
              <w:t xml:space="preserve">  噪声污染排放及控制表</w:t>
            </w:r>
          </w:p>
          <w:tbl>
            <w:tblPr>
              <w:tblStyle w:val="1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53"/>
              <w:gridCol w:w="851"/>
              <w:gridCol w:w="1701"/>
              <w:gridCol w:w="4111"/>
              <w:gridCol w:w="1701"/>
              <w:gridCol w:w="1134"/>
              <w:gridCol w:w="1134"/>
              <w:gridCol w:w="11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950" w:type="dxa"/>
                  <w:gridSpan w:val="8"/>
                  <w:vAlign w:val="center"/>
                </w:tcPr>
                <w:p>
                  <w:pPr>
                    <w:adjustRightInd w:val="0"/>
                    <w:snapToGrid w:val="0"/>
                    <w:jc w:val="center"/>
                    <w:rPr>
                      <w:szCs w:val="21"/>
                    </w:rPr>
                  </w:pPr>
                  <w:r>
                    <w:rPr>
                      <w:szCs w:val="21"/>
                    </w:rPr>
                    <w:t>一期工程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Merge w:val="restart"/>
                  <w:vAlign w:val="center"/>
                </w:tcPr>
                <w:p>
                  <w:pPr>
                    <w:jc w:val="center"/>
                    <w:rPr>
                      <w:szCs w:val="21"/>
                    </w:rPr>
                  </w:pPr>
                  <w:r>
                    <w:rPr>
                      <w:szCs w:val="21"/>
                    </w:rPr>
                    <w:t>噪声源</w:t>
                  </w:r>
                </w:p>
              </w:tc>
              <w:tc>
                <w:tcPr>
                  <w:tcW w:w="851" w:type="dxa"/>
                  <w:vMerge w:val="restart"/>
                  <w:vAlign w:val="center"/>
                </w:tcPr>
                <w:p>
                  <w:pPr>
                    <w:jc w:val="center"/>
                    <w:rPr>
                      <w:szCs w:val="21"/>
                    </w:rPr>
                  </w:pPr>
                  <w:r>
                    <w:rPr>
                      <w:szCs w:val="21"/>
                    </w:rPr>
                    <w:t>数量</w:t>
                  </w:r>
                </w:p>
              </w:tc>
              <w:tc>
                <w:tcPr>
                  <w:tcW w:w="1701" w:type="dxa"/>
                  <w:vMerge w:val="restart"/>
                  <w:vAlign w:val="center"/>
                </w:tcPr>
                <w:p>
                  <w:pPr>
                    <w:jc w:val="center"/>
                    <w:rPr>
                      <w:szCs w:val="21"/>
                    </w:rPr>
                  </w:pPr>
                  <w:r>
                    <w:rPr>
                      <w:szCs w:val="21"/>
                    </w:rPr>
                    <w:t>产生强度</w:t>
                  </w:r>
                </w:p>
              </w:tc>
              <w:tc>
                <w:tcPr>
                  <w:tcW w:w="4111" w:type="dxa"/>
                  <w:vMerge w:val="restart"/>
                  <w:vAlign w:val="center"/>
                </w:tcPr>
                <w:p>
                  <w:pPr>
                    <w:jc w:val="center"/>
                    <w:rPr>
                      <w:szCs w:val="21"/>
                    </w:rPr>
                  </w:pPr>
                  <w:r>
                    <w:rPr>
                      <w:szCs w:val="21"/>
                    </w:rPr>
                    <w:t>降噪措施</w:t>
                  </w:r>
                </w:p>
              </w:tc>
              <w:tc>
                <w:tcPr>
                  <w:tcW w:w="1701" w:type="dxa"/>
                  <w:vMerge w:val="restart"/>
                  <w:vAlign w:val="center"/>
                </w:tcPr>
                <w:p>
                  <w:pPr>
                    <w:jc w:val="center"/>
                    <w:rPr>
                      <w:szCs w:val="21"/>
                    </w:rPr>
                  </w:pPr>
                  <w:r>
                    <w:rPr>
                      <w:szCs w:val="21"/>
                    </w:rPr>
                    <w:t>排放强度</w:t>
                  </w:r>
                </w:p>
              </w:tc>
              <w:tc>
                <w:tcPr>
                  <w:tcW w:w="1134" w:type="dxa"/>
                  <w:vMerge w:val="restart"/>
                  <w:vAlign w:val="center"/>
                </w:tcPr>
                <w:p>
                  <w:pPr>
                    <w:jc w:val="center"/>
                    <w:rPr>
                      <w:szCs w:val="21"/>
                    </w:rPr>
                  </w:pPr>
                  <w:r>
                    <w:rPr>
                      <w:szCs w:val="21"/>
                    </w:rPr>
                    <w:t>持续时间</w:t>
                  </w:r>
                </w:p>
              </w:tc>
              <w:tc>
                <w:tcPr>
                  <w:tcW w:w="2299" w:type="dxa"/>
                  <w:gridSpan w:val="2"/>
                  <w:vAlign w:val="center"/>
                </w:tcPr>
                <w:p>
                  <w:pPr>
                    <w:adjustRightInd w:val="0"/>
                    <w:snapToGrid w:val="0"/>
                    <w:jc w:val="center"/>
                    <w:rPr>
                      <w:szCs w:val="21"/>
                    </w:rPr>
                  </w:pPr>
                  <w:r>
                    <w:rPr>
                      <w:szCs w:val="21"/>
                    </w:rPr>
                    <w:t>监测要求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Merge w:val="continue"/>
                  <w:vAlign w:val="center"/>
                </w:tcPr>
                <w:p>
                  <w:pPr>
                    <w:adjustRightInd w:val="0"/>
                    <w:snapToGrid w:val="0"/>
                    <w:jc w:val="center"/>
                    <w:rPr>
                      <w:szCs w:val="21"/>
                    </w:rPr>
                  </w:pPr>
                </w:p>
              </w:tc>
              <w:tc>
                <w:tcPr>
                  <w:tcW w:w="851" w:type="dxa"/>
                  <w:vMerge w:val="continue"/>
                  <w:vAlign w:val="center"/>
                </w:tcPr>
                <w:p>
                  <w:pPr>
                    <w:adjustRightInd w:val="0"/>
                    <w:snapToGrid w:val="0"/>
                    <w:jc w:val="center"/>
                    <w:rPr>
                      <w:szCs w:val="21"/>
                    </w:rPr>
                  </w:pPr>
                </w:p>
              </w:tc>
              <w:tc>
                <w:tcPr>
                  <w:tcW w:w="1701" w:type="dxa"/>
                  <w:vMerge w:val="continue"/>
                  <w:vAlign w:val="center"/>
                </w:tcPr>
                <w:p>
                  <w:pPr>
                    <w:adjustRightInd w:val="0"/>
                    <w:snapToGrid w:val="0"/>
                    <w:jc w:val="center"/>
                    <w:rPr>
                      <w:szCs w:val="21"/>
                    </w:rPr>
                  </w:pPr>
                </w:p>
              </w:tc>
              <w:tc>
                <w:tcPr>
                  <w:tcW w:w="4111" w:type="dxa"/>
                  <w:vMerge w:val="continue"/>
                  <w:vAlign w:val="center"/>
                </w:tcPr>
                <w:p>
                  <w:pPr>
                    <w:adjustRightInd w:val="0"/>
                    <w:snapToGrid w:val="0"/>
                    <w:jc w:val="center"/>
                    <w:rPr>
                      <w:szCs w:val="21"/>
                    </w:rPr>
                  </w:pPr>
                </w:p>
              </w:tc>
              <w:tc>
                <w:tcPr>
                  <w:tcW w:w="1701" w:type="dxa"/>
                  <w:vMerge w:val="continue"/>
                  <w:vAlign w:val="center"/>
                </w:tcPr>
                <w:p>
                  <w:pPr>
                    <w:adjustRightInd w:val="0"/>
                    <w:snapToGrid w:val="0"/>
                    <w:jc w:val="center"/>
                    <w:rPr>
                      <w:szCs w:val="21"/>
                    </w:rPr>
                  </w:pPr>
                </w:p>
              </w:tc>
              <w:tc>
                <w:tcPr>
                  <w:tcW w:w="1134"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监测点位</w:t>
                  </w:r>
                </w:p>
              </w:tc>
              <w:tc>
                <w:tcPr>
                  <w:tcW w:w="1165" w:type="dxa"/>
                  <w:vAlign w:val="center"/>
                </w:tcPr>
                <w:p>
                  <w:pPr>
                    <w:adjustRightInd w:val="0"/>
                    <w:snapToGrid w:val="0"/>
                    <w:jc w:val="center"/>
                    <w:rPr>
                      <w:szCs w:val="21"/>
                    </w:rPr>
                  </w:pPr>
                  <w:r>
                    <w:rPr>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夹棒锤</w:t>
                  </w:r>
                </w:p>
              </w:tc>
              <w:tc>
                <w:tcPr>
                  <w:tcW w:w="851" w:type="dxa"/>
                  <w:vAlign w:val="center"/>
                </w:tcPr>
                <w:p>
                  <w:pPr>
                    <w:adjustRightInd w:val="0"/>
                    <w:snapToGrid w:val="0"/>
                    <w:jc w:val="center"/>
                    <w:rPr>
                      <w:szCs w:val="21"/>
                    </w:rPr>
                  </w:pPr>
                  <w:r>
                    <w:rPr>
                      <w:szCs w:val="21"/>
                    </w:rPr>
                    <w:t>1台</w:t>
                  </w:r>
                </w:p>
              </w:tc>
              <w:tc>
                <w:tcPr>
                  <w:tcW w:w="1701" w:type="dxa"/>
                  <w:vAlign w:val="center"/>
                </w:tcPr>
                <w:p>
                  <w:pPr>
                    <w:adjustRightInd w:val="0"/>
                    <w:snapToGrid w:val="0"/>
                    <w:jc w:val="center"/>
                    <w:rPr>
                      <w:szCs w:val="21"/>
                    </w:rPr>
                  </w:pPr>
                  <w:r>
                    <w:rPr>
                      <w:szCs w:val="21"/>
                    </w:rPr>
                    <w:t>90～100dB（A）</w:t>
                  </w:r>
                </w:p>
              </w:tc>
              <w:tc>
                <w:tcPr>
                  <w:tcW w:w="4111" w:type="dxa"/>
                  <w:vAlign w:val="center"/>
                </w:tcPr>
                <w:p>
                  <w:pPr>
                    <w:adjustRightInd w:val="0"/>
                    <w:snapToGrid w:val="0"/>
                    <w:jc w:val="center"/>
                    <w:rPr>
                      <w:szCs w:val="21"/>
                    </w:rPr>
                  </w:pPr>
                  <w:r>
                    <w:rPr>
                      <w:szCs w:val="21"/>
                    </w:rPr>
                    <w:t>采用钢筋砼基础，锻锤半封闭</w:t>
                  </w:r>
                </w:p>
                <w:p>
                  <w:pPr>
                    <w:adjustRightInd w:val="0"/>
                    <w:snapToGrid w:val="0"/>
                    <w:jc w:val="center"/>
                    <w:rPr>
                      <w:szCs w:val="21"/>
                    </w:rPr>
                  </w:pPr>
                  <w:r>
                    <w:rPr>
                      <w:szCs w:val="21"/>
                    </w:rPr>
                    <w:t>建设覆盖工棚</w:t>
                  </w:r>
                </w:p>
              </w:tc>
              <w:tc>
                <w:tcPr>
                  <w:tcW w:w="1701" w:type="dxa"/>
                  <w:vAlign w:val="center"/>
                </w:tcPr>
                <w:p>
                  <w:pPr>
                    <w:adjustRightInd w:val="0"/>
                    <w:snapToGrid w:val="0"/>
                    <w:jc w:val="center"/>
                    <w:rPr>
                      <w:szCs w:val="21"/>
                    </w:rPr>
                  </w:pPr>
                  <w:r>
                    <w:rPr>
                      <w:szCs w:val="21"/>
                    </w:rPr>
                    <w:t>70～80dB（A）</w:t>
                  </w:r>
                </w:p>
              </w:tc>
              <w:tc>
                <w:tcPr>
                  <w:tcW w:w="1134" w:type="dxa"/>
                  <w:vAlign w:val="center"/>
                </w:tcPr>
                <w:p>
                  <w:pPr>
                    <w:adjustRightInd w:val="0"/>
                    <w:snapToGrid w:val="0"/>
                    <w:jc w:val="center"/>
                    <w:rPr>
                      <w:szCs w:val="21"/>
                    </w:rPr>
                  </w:pPr>
                  <w:r>
                    <w:rPr>
                      <w:rFonts w:hint="eastAsia"/>
                      <w:szCs w:val="21"/>
                    </w:rPr>
                    <w:t>6</w:t>
                  </w:r>
                  <w:r>
                    <w:rPr>
                      <w:szCs w:val="21"/>
                    </w:rPr>
                    <w:t>h</w:t>
                  </w:r>
                </w:p>
              </w:tc>
              <w:tc>
                <w:tcPr>
                  <w:tcW w:w="1134" w:type="dxa"/>
                  <w:vMerge w:val="restart"/>
                  <w:vAlign w:val="center"/>
                </w:tcPr>
                <w:p>
                  <w:pPr>
                    <w:adjustRightInd w:val="0"/>
                    <w:snapToGrid w:val="0"/>
                    <w:jc w:val="center"/>
                    <w:rPr>
                      <w:szCs w:val="21"/>
                    </w:rPr>
                  </w:pPr>
                  <w:r>
                    <w:rPr>
                      <w:szCs w:val="21"/>
                    </w:rPr>
                    <w:t>厂界</w:t>
                  </w:r>
                  <w:r>
                    <w:rPr>
                      <w:rFonts w:hint="eastAsia"/>
                      <w:szCs w:val="21"/>
                    </w:rPr>
                    <w:t>南侧、</w:t>
                  </w:r>
                  <w:r>
                    <w:rPr>
                      <w:szCs w:val="21"/>
                    </w:rPr>
                    <w:t>东侧</w:t>
                  </w:r>
                </w:p>
              </w:tc>
              <w:tc>
                <w:tcPr>
                  <w:tcW w:w="1165" w:type="dxa"/>
                  <w:vMerge w:val="restart"/>
                  <w:vAlign w:val="center"/>
                </w:tcPr>
                <w:p>
                  <w:pPr>
                    <w:adjustRightInd w:val="0"/>
                    <w:snapToGrid w:val="0"/>
                    <w:jc w:val="center"/>
                    <w:rPr>
                      <w:szCs w:val="21"/>
                    </w:rPr>
                  </w:pPr>
                  <w:r>
                    <w:rPr>
                      <w:szCs w:val="21"/>
                    </w:rPr>
                    <w:t>每季度1次，每次1天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车床</w:t>
                  </w:r>
                </w:p>
              </w:tc>
              <w:tc>
                <w:tcPr>
                  <w:tcW w:w="851" w:type="dxa"/>
                  <w:vAlign w:val="center"/>
                </w:tcPr>
                <w:p>
                  <w:pPr>
                    <w:adjustRightInd w:val="0"/>
                    <w:snapToGrid w:val="0"/>
                    <w:jc w:val="center"/>
                    <w:rPr>
                      <w:szCs w:val="21"/>
                    </w:rPr>
                  </w:pPr>
                  <w:r>
                    <w:rPr>
                      <w:szCs w:val="21"/>
                    </w:rPr>
                    <w:t>6台</w:t>
                  </w:r>
                </w:p>
              </w:tc>
              <w:tc>
                <w:tcPr>
                  <w:tcW w:w="1701" w:type="dxa"/>
                  <w:vAlign w:val="center"/>
                </w:tcPr>
                <w:p>
                  <w:pPr>
                    <w:adjustRightInd w:val="0"/>
                    <w:snapToGrid w:val="0"/>
                    <w:jc w:val="center"/>
                    <w:rPr>
                      <w:szCs w:val="21"/>
                    </w:rPr>
                  </w:pPr>
                  <w:r>
                    <w:rPr>
                      <w:szCs w:val="21"/>
                    </w:rPr>
                    <w:t>70～80dB（A）</w:t>
                  </w:r>
                </w:p>
              </w:tc>
              <w:tc>
                <w:tcPr>
                  <w:tcW w:w="4111" w:type="dxa"/>
                  <w:vAlign w:val="center"/>
                </w:tcPr>
                <w:p>
                  <w:pPr>
                    <w:adjustRightInd w:val="0"/>
                    <w:snapToGrid w:val="0"/>
                    <w:jc w:val="center"/>
                    <w:rPr>
                      <w:szCs w:val="21"/>
                    </w:rPr>
                  </w:pPr>
                  <w:r>
                    <w:rPr>
                      <w:szCs w:val="21"/>
                    </w:rPr>
                    <w:t>选用低噪设备，置于车间内、基础减振</w:t>
                  </w:r>
                </w:p>
              </w:tc>
              <w:tc>
                <w:tcPr>
                  <w:tcW w:w="1701" w:type="dxa"/>
                  <w:vAlign w:val="center"/>
                </w:tcPr>
                <w:p>
                  <w:pPr>
                    <w:adjustRightInd w:val="0"/>
                    <w:snapToGrid w:val="0"/>
                    <w:jc w:val="center"/>
                    <w:rPr>
                      <w:szCs w:val="21"/>
                    </w:rPr>
                  </w:pPr>
                  <w:r>
                    <w:rPr>
                      <w:szCs w:val="21"/>
                    </w:rPr>
                    <w:t>60～70dB（A）</w:t>
                  </w:r>
                </w:p>
              </w:tc>
              <w:tc>
                <w:tcPr>
                  <w:tcW w:w="1134" w:type="dxa"/>
                  <w:vAlign w:val="center"/>
                </w:tcPr>
                <w:p>
                  <w:pPr>
                    <w:adjustRightInd w:val="0"/>
                    <w:snapToGrid w:val="0"/>
                    <w:jc w:val="center"/>
                    <w:rPr>
                      <w:szCs w:val="21"/>
                    </w:rPr>
                  </w:pPr>
                  <w:r>
                    <w:rPr>
                      <w:rFonts w:hint="eastAsia"/>
                      <w:szCs w:val="21"/>
                    </w:rPr>
                    <w:t>6</w:t>
                  </w:r>
                  <w:r>
                    <w:rPr>
                      <w:szCs w:val="21"/>
                    </w:rPr>
                    <w:t>h</w:t>
                  </w:r>
                </w:p>
              </w:tc>
              <w:tc>
                <w:tcPr>
                  <w:tcW w:w="1134" w:type="dxa"/>
                  <w:vMerge w:val="continue"/>
                  <w:vAlign w:val="center"/>
                </w:tcPr>
                <w:p>
                  <w:pPr>
                    <w:adjustRightInd w:val="0"/>
                    <w:snapToGrid w:val="0"/>
                    <w:jc w:val="center"/>
                    <w:rPr>
                      <w:szCs w:val="21"/>
                    </w:rPr>
                  </w:pPr>
                </w:p>
              </w:tc>
              <w:tc>
                <w:tcPr>
                  <w:tcW w:w="1165" w:type="dxa"/>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钻床</w:t>
                  </w:r>
                </w:p>
              </w:tc>
              <w:tc>
                <w:tcPr>
                  <w:tcW w:w="851" w:type="dxa"/>
                  <w:vAlign w:val="center"/>
                </w:tcPr>
                <w:p>
                  <w:pPr>
                    <w:adjustRightInd w:val="0"/>
                    <w:snapToGrid w:val="0"/>
                    <w:jc w:val="center"/>
                    <w:rPr>
                      <w:szCs w:val="21"/>
                    </w:rPr>
                  </w:pPr>
                  <w:r>
                    <w:rPr>
                      <w:szCs w:val="21"/>
                    </w:rPr>
                    <w:t>2台</w:t>
                  </w:r>
                </w:p>
              </w:tc>
              <w:tc>
                <w:tcPr>
                  <w:tcW w:w="1701" w:type="dxa"/>
                  <w:vAlign w:val="center"/>
                </w:tcPr>
                <w:p>
                  <w:pPr>
                    <w:adjustRightInd w:val="0"/>
                    <w:snapToGrid w:val="0"/>
                    <w:jc w:val="center"/>
                    <w:rPr>
                      <w:szCs w:val="21"/>
                    </w:rPr>
                  </w:pPr>
                  <w:r>
                    <w:rPr>
                      <w:szCs w:val="21"/>
                    </w:rPr>
                    <w:t>70～80dB（A）</w:t>
                  </w:r>
                </w:p>
              </w:tc>
              <w:tc>
                <w:tcPr>
                  <w:tcW w:w="4111" w:type="dxa"/>
                  <w:vAlign w:val="center"/>
                </w:tcPr>
                <w:p>
                  <w:pPr>
                    <w:adjustRightInd w:val="0"/>
                    <w:snapToGrid w:val="0"/>
                    <w:jc w:val="center"/>
                    <w:rPr>
                      <w:szCs w:val="21"/>
                    </w:rPr>
                  </w:pPr>
                  <w:r>
                    <w:rPr>
                      <w:szCs w:val="21"/>
                    </w:rPr>
                    <w:t>选用低噪设备，置于车间内、基础减振</w:t>
                  </w:r>
                </w:p>
              </w:tc>
              <w:tc>
                <w:tcPr>
                  <w:tcW w:w="1701" w:type="dxa"/>
                  <w:vAlign w:val="center"/>
                </w:tcPr>
                <w:p>
                  <w:pPr>
                    <w:adjustRightInd w:val="0"/>
                    <w:snapToGrid w:val="0"/>
                    <w:jc w:val="center"/>
                    <w:rPr>
                      <w:szCs w:val="21"/>
                    </w:rPr>
                  </w:pPr>
                  <w:r>
                    <w:rPr>
                      <w:szCs w:val="21"/>
                    </w:rPr>
                    <w:t>60～70dB（A）</w:t>
                  </w:r>
                </w:p>
              </w:tc>
              <w:tc>
                <w:tcPr>
                  <w:tcW w:w="1134" w:type="dxa"/>
                  <w:vAlign w:val="center"/>
                </w:tcPr>
                <w:p>
                  <w:pPr>
                    <w:adjustRightInd w:val="0"/>
                    <w:snapToGrid w:val="0"/>
                    <w:jc w:val="center"/>
                    <w:rPr>
                      <w:szCs w:val="21"/>
                    </w:rPr>
                  </w:pPr>
                  <w:r>
                    <w:rPr>
                      <w:rFonts w:hint="eastAsia"/>
                      <w:szCs w:val="21"/>
                    </w:rPr>
                    <w:t>6</w:t>
                  </w:r>
                  <w:r>
                    <w:rPr>
                      <w:szCs w:val="21"/>
                    </w:rPr>
                    <w:t>h</w:t>
                  </w:r>
                </w:p>
              </w:tc>
              <w:tc>
                <w:tcPr>
                  <w:tcW w:w="1134" w:type="dxa"/>
                  <w:vMerge w:val="continue"/>
                  <w:vAlign w:val="center"/>
                </w:tcPr>
                <w:p>
                  <w:pPr>
                    <w:adjustRightInd w:val="0"/>
                    <w:snapToGrid w:val="0"/>
                    <w:jc w:val="center"/>
                    <w:rPr>
                      <w:szCs w:val="21"/>
                    </w:rPr>
                  </w:pPr>
                </w:p>
              </w:tc>
              <w:tc>
                <w:tcPr>
                  <w:tcW w:w="1165" w:type="dxa"/>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锯床</w:t>
                  </w:r>
                </w:p>
              </w:tc>
              <w:tc>
                <w:tcPr>
                  <w:tcW w:w="851" w:type="dxa"/>
                  <w:vAlign w:val="center"/>
                </w:tcPr>
                <w:p>
                  <w:pPr>
                    <w:adjustRightInd w:val="0"/>
                    <w:snapToGrid w:val="0"/>
                    <w:jc w:val="center"/>
                    <w:rPr>
                      <w:szCs w:val="21"/>
                    </w:rPr>
                  </w:pPr>
                  <w:r>
                    <w:rPr>
                      <w:szCs w:val="21"/>
                    </w:rPr>
                    <w:t>3台</w:t>
                  </w:r>
                </w:p>
              </w:tc>
              <w:tc>
                <w:tcPr>
                  <w:tcW w:w="1701" w:type="dxa"/>
                  <w:vAlign w:val="center"/>
                </w:tcPr>
                <w:p>
                  <w:pPr>
                    <w:adjustRightInd w:val="0"/>
                    <w:snapToGrid w:val="0"/>
                    <w:jc w:val="center"/>
                    <w:rPr>
                      <w:szCs w:val="21"/>
                    </w:rPr>
                  </w:pPr>
                  <w:r>
                    <w:rPr>
                      <w:szCs w:val="21"/>
                    </w:rPr>
                    <w:t>70～80dB（A）</w:t>
                  </w:r>
                </w:p>
              </w:tc>
              <w:tc>
                <w:tcPr>
                  <w:tcW w:w="4111" w:type="dxa"/>
                  <w:vAlign w:val="center"/>
                </w:tcPr>
                <w:p>
                  <w:pPr>
                    <w:adjustRightInd w:val="0"/>
                    <w:snapToGrid w:val="0"/>
                    <w:jc w:val="center"/>
                    <w:rPr>
                      <w:szCs w:val="21"/>
                    </w:rPr>
                  </w:pPr>
                  <w:r>
                    <w:rPr>
                      <w:szCs w:val="21"/>
                    </w:rPr>
                    <w:t>选用低噪设备，置于车间内、基础减振</w:t>
                  </w:r>
                </w:p>
              </w:tc>
              <w:tc>
                <w:tcPr>
                  <w:tcW w:w="1701" w:type="dxa"/>
                  <w:vAlign w:val="center"/>
                </w:tcPr>
                <w:p>
                  <w:pPr>
                    <w:adjustRightInd w:val="0"/>
                    <w:snapToGrid w:val="0"/>
                    <w:jc w:val="center"/>
                    <w:rPr>
                      <w:szCs w:val="21"/>
                    </w:rPr>
                  </w:pPr>
                  <w:r>
                    <w:rPr>
                      <w:szCs w:val="21"/>
                    </w:rPr>
                    <w:t>60～70dB（A）</w:t>
                  </w:r>
                </w:p>
              </w:tc>
              <w:tc>
                <w:tcPr>
                  <w:tcW w:w="1134" w:type="dxa"/>
                  <w:vAlign w:val="center"/>
                </w:tcPr>
                <w:p>
                  <w:pPr>
                    <w:adjustRightInd w:val="0"/>
                    <w:snapToGrid w:val="0"/>
                    <w:jc w:val="center"/>
                    <w:rPr>
                      <w:szCs w:val="21"/>
                    </w:rPr>
                  </w:pPr>
                  <w:r>
                    <w:rPr>
                      <w:rFonts w:hint="eastAsia"/>
                      <w:szCs w:val="21"/>
                    </w:rPr>
                    <w:t>6</w:t>
                  </w:r>
                  <w:r>
                    <w:rPr>
                      <w:szCs w:val="21"/>
                    </w:rPr>
                    <w:t>h</w:t>
                  </w:r>
                </w:p>
              </w:tc>
              <w:tc>
                <w:tcPr>
                  <w:tcW w:w="1134" w:type="dxa"/>
                  <w:vMerge w:val="continue"/>
                  <w:vAlign w:val="center"/>
                </w:tcPr>
                <w:p>
                  <w:pPr>
                    <w:adjustRightInd w:val="0"/>
                    <w:snapToGrid w:val="0"/>
                    <w:jc w:val="center"/>
                    <w:rPr>
                      <w:szCs w:val="21"/>
                    </w:rPr>
                  </w:pPr>
                </w:p>
              </w:tc>
              <w:tc>
                <w:tcPr>
                  <w:tcW w:w="1165" w:type="dxa"/>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碾环机</w:t>
                  </w:r>
                </w:p>
              </w:tc>
              <w:tc>
                <w:tcPr>
                  <w:tcW w:w="851" w:type="dxa"/>
                  <w:vAlign w:val="center"/>
                </w:tcPr>
                <w:p>
                  <w:pPr>
                    <w:adjustRightInd w:val="0"/>
                    <w:snapToGrid w:val="0"/>
                    <w:jc w:val="center"/>
                    <w:rPr>
                      <w:szCs w:val="21"/>
                    </w:rPr>
                  </w:pPr>
                  <w:r>
                    <w:rPr>
                      <w:szCs w:val="21"/>
                    </w:rPr>
                    <w:t>1台</w:t>
                  </w:r>
                </w:p>
              </w:tc>
              <w:tc>
                <w:tcPr>
                  <w:tcW w:w="1701" w:type="dxa"/>
                  <w:vAlign w:val="center"/>
                </w:tcPr>
                <w:p>
                  <w:pPr>
                    <w:adjustRightInd w:val="0"/>
                    <w:snapToGrid w:val="0"/>
                    <w:jc w:val="center"/>
                    <w:rPr>
                      <w:szCs w:val="21"/>
                    </w:rPr>
                  </w:pPr>
                  <w:r>
                    <w:rPr>
                      <w:szCs w:val="21"/>
                    </w:rPr>
                    <w:t>70～80dB（A）</w:t>
                  </w:r>
                </w:p>
              </w:tc>
              <w:tc>
                <w:tcPr>
                  <w:tcW w:w="4111" w:type="dxa"/>
                  <w:vAlign w:val="center"/>
                </w:tcPr>
                <w:p>
                  <w:pPr>
                    <w:adjustRightInd w:val="0"/>
                    <w:snapToGrid w:val="0"/>
                    <w:jc w:val="center"/>
                    <w:rPr>
                      <w:szCs w:val="21"/>
                    </w:rPr>
                  </w:pPr>
                  <w:r>
                    <w:rPr>
                      <w:szCs w:val="21"/>
                    </w:rPr>
                    <w:t>选用低噪设备，置于车间内、基础减振</w:t>
                  </w:r>
                </w:p>
              </w:tc>
              <w:tc>
                <w:tcPr>
                  <w:tcW w:w="1701" w:type="dxa"/>
                  <w:vAlign w:val="center"/>
                </w:tcPr>
                <w:p>
                  <w:pPr>
                    <w:adjustRightInd w:val="0"/>
                    <w:snapToGrid w:val="0"/>
                    <w:jc w:val="center"/>
                    <w:rPr>
                      <w:szCs w:val="21"/>
                    </w:rPr>
                  </w:pPr>
                  <w:r>
                    <w:rPr>
                      <w:szCs w:val="21"/>
                    </w:rPr>
                    <w:t>60～70dB（A）</w:t>
                  </w:r>
                </w:p>
              </w:tc>
              <w:tc>
                <w:tcPr>
                  <w:tcW w:w="1134" w:type="dxa"/>
                  <w:vAlign w:val="center"/>
                </w:tcPr>
                <w:p>
                  <w:pPr>
                    <w:adjustRightInd w:val="0"/>
                    <w:snapToGrid w:val="0"/>
                    <w:jc w:val="center"/>
                    <w:rPr>
                      <w:szCs w:val="21"/>
                    </w:rPr>
                  </w:pPr>
                  <w:r>
                    <w:rPr>
                      <w:rFonts w:hint="eastAsia"/>
                      <w:szCs w:val="21"/>
                    </w:rPr>
                    <w:t>6</w:t>
                  </w:r>
                  <w:r>
                    <w:rPr>
                      <w:szCs w:val="21"/>
                    </w:rPr>
                    <w:t>h</w:t>
                  </w:r>
                </w:p>
              </w:tc>
              <w:tc>
                <w:tcPr>
                  <w:tcW w:w="1134" w:type="dxa"/>
                  <w:vMerge w:val="continue"/>
                  <w:vAlign w:val="center"/>
                </w:tcPr>
                <w:p>
                  <w:pPr>
                    <w:adjustRightInd w:val="0"/>
                    <w:snapToGrid w:val="0"/>
                    <w:jc w:val="center"/>
                    <w:rPr>
                      <w:szCs w:val="21"/>
                    </w:rPr>
                  </w:pPr>
                </w:p>
              </w:tc>
              <w:tc>
                <w:tcPr>
                  <w:tcW w:w="1165" w:type="dxa"/>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风机</w:t>
                  </w:r>
                </w:p>
              </w:tc>
              <w:tc>
                <w:tcPr>
                  <w:tcW w:w="851" w:type="dxa"/>
                  <w:vAlign w:val="center"/>
                </w:tcPr>
                <w:p>
                  <w:pPr>
                    <w:adjustRightInd w:val="0"/>
                    <w:snapToGrid w:val="0"/>
                    <w:jc w:val="center"/>
                    <w:rPr>
                      <w:szCs w:val="21"/>
                    </w:rPr>
                  </w:pPr>
                  <w:r>
                    <w:rPr>
                      <w:szCs w:val="21"/>
                    </w:rPr>
                    <w:t>1台</w:t>
                  </w:r>
                </w:p>
              </w:tc>
              <w:tc>
                <w:tcPr>
                  <w:tcW w:w="1701" w:type="dxa"/>
                  <w:vAlign w:val="center"/>
                </w:tcPr>
                <w:p>
                  <w:pPr>
                    <w:adjustRightInd w:val="0"/>
                    <w:snapToGrid w:val="0"/>
                    <w:jc w:val="center"/>
                    <w:rPr>
                      <w:szCs w:val="21"/>
                    </w:rPr>
                  </w:pPr>
                  <w:r>
                    <w:rPr>
                      <w:rFonts w:hint="eastAsia"/>
                      <w:szCs w:val="21"/>
                    </w:rPr>
                    <w:t>80</w:t>
                  </w:r>
                  <w:r>
                    <w:rPr>
                      <w:szCs w:val="21"/>
                    </w:rPr>
                    <w:t>～</w:t>
                  </w:r>
                  <w:r>
                    <w:rPr>
                      <w:rFonts w:hint="eastAsia"/>
                      <w:szCs w:val="21"/>
                    </w:rPr>
                    <w:t>90</w:t>
                  </w:r>
                  <w:r>
                    <w:rPr>
                      <w:szCs w:val="21"/>
                    </w:rPr>
                    <w:t>dB（A）</w:t>
                  </w:r>
                </w:p>
              </w:tc>
              <w:tc>
                <w:tcPr>
                  <w:tcW w:w="4111" w:type="dxa"/>
                  <w:vAlign w:val="center"/>
                </w:tcPr>
                <w:p>
                  <w:pPr>
                    <w:adjustRightInd w:val="0"/>
                    <w:snapToGrid w:val="0"/>
                    <w:jc w:val="center"/>
                    <w:rPr>
                      <w:szCs w:val="21"/>
                    </w:rPr>
                  </w:pPr>
                  <w:r>
                    <w:rPr>
                      <w:szCs w:val="21"/>
                    </w:rPr>
                    <w:t>选用低噪声设备，密封、减振</w:t>
                  </w:r>
                  <w:r>
                    <w:rPr>
                      <w:rFonts w:hint="eastAsia"/>
                      <w:szCs w:val="21"/>
                    </w:rPr>
                    <w:t>，</w:t>
                  </w:r>
                  <w:r>
                    <w:rPr>
                      <w:szCs w:val="21"/>
                    </w:rPr>
                    <w:t>加装消音器</w:t>
                  </w:r>
                </w:p>
              </w:tc>
              <w:tc>
                <w:tcPr>
                  <w:tcW w:w="1701" w:type="dxa"/>
                  <w:vAlign w:val="center"/>
                </w:tcPr>
                <w:p>
                  <w:pPr>
                    <w:adjustRightInd w:val="0"/>
                    <w:snapToGrid w:val="0"/>
                    <w:jc w:val="center"/>
                    <w:rPr>
                      <w:szCs w:val="21"/>
                    </w:rPr>
                  </w:pPr>
                  <w:r>
                    <w:rPr>
                      <w:szCs w:val="21"/>
                    </w:rPr>
                    <w:t>60～70dB（A）</w:t>
                  </w:r>
                </w:p>
              </w:tc>
              <w:tc>
                <w:tcPr>
                  <w:tcW w:w="1134" w:type="dxa"/>
                  <w:vAlign w:val="center"/>
                </w:tcPr>
                <w:p>
                  <w:pPr>
                    <w:adjustRightInd w:val="0"/>
                    <w:snapToGrid w:val="0"/>
                    <w:jc w:val="center"/>
                    <w:rPr>
                      <w:szCs w:val="21"/>
                    </w:rPr>
                  </w:pPr>
                  <w:r>
                    <w:rPr>
                      <w:rFonts w:hint="eastAsia"/>
                      <w:szCs w:val="21"/>
                    </w:rPr>
                    <w:t>6</w:t>
                  </w:r>
                  <w:r>
                    <w:rPr>
                      <w:szCs w:val="21"/>
                    </w:rPr>
                    <w:t>h</w:t>
                  </w:r>
                </w:p>
              </w:tc>
              <w:tc>
                <w:tcPr>
                  <w:tcW w:w="1134" w:type="dxa"/>
                  <w:vMerge w:val="continue"/>
                  <w:vAlign w:val="center"/>
                </w:tcPr>
                <w:p>
                  <w:pPr>
                    <w:adjustRightInd w:val="0"/>
                    <w:snapToGrid w:val="0"/>
                    <w:jc w:val="center"/>
                    <w:rPr>
                      <w:szCs w:val="21"/>
                    </w:rPr>
                  </w:pPr>
                </w:p>
              </w:tc>
              <w:tc>
                <w:tcPr>
                  <w:tcW w:w="1165" w:type="dxa"/>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950" w:type="dxa"/>
                  <w:gridSpan w:val="8"/>
                  <w:vAlign w:val="center"/>
                </w:tcPr>
                <w:p>
                  <w:pPr>
                    <w:adjustRightInd w:val="0"/>
                    <w:snapToGrid w:val="0"/>
                    <w:jc w:val="center"/>
                    <w:rPr>
                      <w:szCs w:val="21"/>
                    </w:rPr>
                  </w:pPr>
                  <w:r>
                    <w:rPr>
                      <w:szCs w:val="21"/>
                    </w:rPr>
                    <w:t>二期工程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Merge w:val="restart"/>
                  <w:vAlign w:val="center"/>
                </w:tcPr>
                <w:p>
                  <w:pPr>
                    <w:jc w:val="center"/>
                    <w:rPr>
                      <w:szCs w:val="21"/>
                    </w:rPr>
                  </w:pPr>
                  <w:r>
                    <w:rPr>
                      <w:szCs w:val="21"/>
                    </w:rPr>
                    <w:t>噪声源</w:t>
                  </w:r>
                </w:p>
              </w:tc>
              <w:tc>
                <w:tcPr>
                  <w:tcW w:w="851" w:type="dxa"/>
                  <w:vMerge w:val="restart"/>
                  <w:vAlign w:val="center"/>
                </w:tcPr>
                <w:p>
                  <w:pPr>
                    <w:jc w:val="center"/>
                    <w:rPr>
                      <w:szCs w:val="21"/>
                    </w:rPr>
                  </w:pPr>
                  <w:r>
                    <w:rPr>
                      <w:szCs w:val="21"/>
                    </w:rPr>
                    <w:t>数量</w:t>
                  </w:r>
                </w:p>
              </w:tc>
              <w:tc>
                <w:tcPr>
                  <w:tcW w:w="1701" w:type="dxa"/>
                  <w:vMerge w:val="restart"/>
                  <w:vAlign w:val="center"/>
                </w:tcPr>
                <w:p>
                  <w:pPr>
                    <w:jc w:val="center"/>
                    <w:rPr>
                      <w:szCs w:val="21"/>
                    </w:rPr>
                  </w:pPr>
                  <w:r>
                    <w:rPr>
                      <w:szCs w:val="21"/>
                    </w:rPr>
                    <w:t>产生强度</w:t>
                  </w:r>
                </w:p>
              </w:tc>
              <w:tc>
                <w:tcPr>
                  <w:tcW w:w="4111" w:type="dxa"/>
                  <w:vMerge w:val="restart"/>
                  <w:vAlign w:val="center"/>
                </w:tcPr>
                <w:p>
                  <w:pPr>
                    <w:jc w:val="center"/>
                    <w:rPr>
                      <w:szCs w:val="21"/>
                    </w:rPr>
                  </w:pPr>
                  <w:r>
                    <w:rPr>
                      <w:szCs w:val="21"/>
                    </w:rPr>
                    <w:t>降噪措施</w:t>
                  </w:r>
                </w:p>
              </w:tc>
              <w:tc>
                <w:tcPr>
                  <w:tcW w:w="1701" w:type="dxa"/>
                  <w:vMerge w:val="restart"/>
                  <w:vAlign w:val="center"/>
                </w:tcPr>
                <w:p>
                  <w:pPr>
                    <w:jc w:val="center"/>
                    <w:rPr>
                      <w:szCs w:val="21"/>
                    </w:rPr>
                  </w:pPr>
                  <w:r>
                    <w:rPr>
                      <w:szCs w:val="21"/>
                    </w:rPr>
                    <w:t>排放强度</w:t>
                  </w:r>
                </w:p>
              </w:tc>
              <w:tc>
                <w:tcPr>
                  <w:tcW w:w="1134" w:type="dxa"/>
                  <w:vMerge w:val="restart"/>
                  <w:vAlign w:val="center"/>
                </w:tcPr>
                <w:p>
                  <w:pPr>
                    <w:jc w:val="center"/>
                    <w:rPr>
                      <w:szCs w:val="21"/>
                    </w:rPr>
                  </w:pPr>
                  <w:r>
                    <w:rPr>
                      <w:szCs w:val="21"/>
                    </w:rPr>
                    <w:t>持续时间</w:t>
                  </w:r>
                </w:p>
              </w:tc>
              <w:tc>
                <w:tcPr>
                  <w:tcW w:w="2299" w:type="dxa"/>
                  <w:gridSpan w:val="2"/>
                  <w:vAlign w:val="center"/>
                </w:tcPr>
                <w:p>
                  <w:pPr>
                    <w:adjustRightInd w:val="0"/>
                    <w:snapToGrid w:val="0"/>
                    <w:jc w:val="center"/>
                    <w:rPr>
                      <w:szCs w:val="21"/>
                    </w:rPr>
                  </w:pPr>
                  <w:r>
                    <w:rPr>
                      <w:szCs w:val="21"/>
                    </w:rPr>
                    <w:t>监测要求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Merge w:val="continue"/>
                  <w:vAlign w:val="center"/>
                </w:tcPr>
                <w:p>
                  <w:pPr>
                    <w:adjustRightInd w:val="0"/>
                    <w:snapToGrid w:val="0"/>
                    <w:jc w:val="center"/>
                    <w:rPr>
                      <w:szCs w:val="21"/>
                    </w:rPr>
                  </w:pPr>
                </w:p>
              </w:tc>
              <w:tc>
                <w:tcPr>
                  <w:tcW w:w="851" w:type="dxa"/>
                  <w:vMerge w:val="continue"/>
                  <w:vAlign w:val="center"/>
                </w:tcPr>
                <w:p>
                  <w:pPr>
                    <w:adjustRightInd w:val="0"/>
                    <w:snapToGrid w:val="0"/>
                    <w:jc w:val="center"/>
                    <w:rPr>
                      <w:szCs w:val="21"/>
                    </w:rPr>
                  </w:pPr>
                </w:p>
              </w:tc>
              <w:tc>
                <w:tcPr>
                  <w:tcW w:w="1701" w:type="dxa"/>
                  <w:vMerge w:val="continue"/>
                  <w:vAlign w:val="center"/>
                </w:tcPr>
                <w:p>
                  <w:pPr>
                    <w:adjustRightInd w:val="0"/>
                    <w:snapToGrid w:val="0"/>
                    <w:jc w:val="center"/>
                    <w:rPr>
                      <w:szCs w:val="21"/>
                    </w:rPr>
                  </w:pPr>
                </w:p>
              </w:tc>
              <w:tc>
                <w:tcPr>
                  <w:tcW w:w="4111" w:type="dxa"/>
                  <w:vMerge w:val="continue"/>
                  <w:vAlign w:val="center"/>
                </w:tcPr>
                <w:p>
                  <w:pPr>
                    <w:adjustRightInd w:val="0"/>
                    <w:snapToGrid w:val="0"/>
                    <w:jc w:val="center"/>
                    <w:rPr>
                      <w:szCs w:val="21"/>
                    </w:rPr>
                  </w:pPr>
                </w:p>
              </w:tc>
              <w:tc>
                <w:tcPr>
                  <w:tcW w:w="1701" w:type="dxa"/>
                  <w:vMerge w:val="continue"/>
                  <w:vAlign w:val="center"/>
                </w:tcPr>
                <w:p>
                  <w:pPr>
                    <w:adjustRightInd w:val="0"/>
                    <w:snapToGrid w:val="0"/>
                    <w:jc w:val="center"/>
                    <w:rPr>
                      <w:szCs w:val="21"/>
                    </w:rPr>
                  </w:pPr>
                </w:p>
              </w:tc>
              <w:tc>
                <w:tcPr>
                  <w:tcW w:w="1134"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监测点位</w:t>
                  </w:r>
                </w:p>
              </w:tc>
              <w:tc>
                <w:tcPr>
                  <w:tcW w:w="1165" w:type="dxa"/>
                  <w:vAlign w:val="center"/>
                </w:tcPr>
                <w:p>
                  <w:pPr>
                    <w:adjustRightInd w:val="0"/>
                    <w:snapToGrid w:val="0"/>
                    <w:jc w:val="center"/>
                    <w:rPr>
                      <w:szCs w:val="21"/>
                    </w:rPr>
                  </w:pPr>
                  <w:r>
                    <w:rPr>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tcBorders>
                    <w:bottom w:val="single" w:color="auto" w:sz="6" w:space="0"/>
                  </w:tcBorders>
                  <w:vAlign w:val="center"/>
                </w:tcPr>
                <w:p>
                  <w:pPr>
                    <w:adjustRightInd w:val="0"/>
                    <w:snapToGrid w:val="0"/>
                    <w:jc w:val="center"/>
                    <w:rPr>
                      <w:szCs w:val="21"/>
                    </w:rPr>
                  </w:pPr>
                  <w:r>
                    <w:rPr>
                      <w:szCs w:val="21"/>
                    </w:rPr>
                    <w:t>空气锤</w:t>
                  </w:r>
                </w:p>
              </w:tc>
              <w:tc>
                <w:tcPr>
                  <w:tcW w:w="851" w:type="dxa"/>
                  <w:tcBorders>
                    <w:bottom w:val="single" w:color="auto" w:sz="6" w:space="0"/>
                  </w:tcBorders>
                  <w:vAlign w:val="center"/>
                </w:tcPr>
                <w:p>
                  <w:pPr>
                    <w:adjustRightInd w:val="0"/>
                    <w:snapToGrid w:val="0"/>
                    <w:jc w:val="center"/>
                    <w:rPr>
                      <w:szCs w:val="21"/>
                    </w:rPr>
                  </w:pPr>
                  <w:r>
                    <w:rPr>
                      <w:szCs w:val="21"/>
                    </w:rPr>
                    <w:t>2台</w:t>
                  </w:r>
                </w:p>
              </w:tc>
              <w:tc>
                <w:tcPr>
                  <w:tcW w:w="1701" w:type="dxa"/>
                  <w:tcBorders>
                    <w:bottom w:val="single" w:color="auto" w:sz="6" w:space="0"/>
                  </w:tcBorders>
                  <w:vAlign w:val="center"/>
                </w:tcPr>
                <w:p>
                  <w:pPr>
                    <w:adjustRightInd w:val="0"/>
                    <w:snapToGrid w:val="0"/>
                    <w:jc w:val="center"/>
                    <w:rPr>
                      <w:szCs w:val="21"/>
                    </w:rPr>
                  </w:pPr>
                  <w:r>
                    <w:rPr>
                      <w:rFonts w:hint="eastAsia"/>
                      <w:szCs w:val="21"/>
                    </w:rPr>
                    <w:t>90</w:t>
                  </w:r>
                  <w:r>
                    <w:rPr>
                      <w:szCs w:val="21"/>
                    </w:rPr>
                    <w:t>～</w:t>
                  </w:r>
                  <w:r>
                    <w:rPr>
                      <w:rFonts w:hint="eastAsia"/>
                      <w:szCs w:val="21"/>
                    </w:rPr>
                    <w:t>10</w:t>
                  </w:r>
                  <w:r>
                    <w:rPr>
                      <w:szCs w:val="21"/>
                    </w:rPr>
                    <w:t>0dB（A）</w:t>
                  </w:r>
                </w:p>
              </w:tc>
              <w:tc>
                <w:tcPr>
                  <w:tcW w:w="4111" w:type="dxa"/>
                  <w:tcBorders>
                    <w:bottom w:val="single" w:color="auto" w:sz="6" w:space="0"/>
                  </w:tcBorders>
                  <w:vAlign w:val="center"/>
                </w:tcPr>
                <w:p>
                  <w:pPr>
                    <w:adjustRightInd w:val="0"/>
                    <w:snapToGrid w:val="0"/>
                    <w:jc w:val="center"/>
                    <w:rPr>
                      <w:szCs w:val="21"/>
                    </w:rPr>
                  </w:pPr>
                  <w:r>
                    <w:rPr>
                      <w:szCs w:val="21"/>
                    </w:rPr>
                    <w:t>采用钢筋砼基础，锻锤</w:t>
                  </w:r>
                  <w:r>
                    <w:rPr>
                      <w:rFonts w:hint="eastAsia"/>
                      <w:szCs w:val="21"/>
                    </w:rPr>
                    <w:t>全</w:t>
                  </w:r>
                  <w:r>
                    <w:rPr>
                      <w:szCs w:val="21"/>
                    </w:rPr>
                    <w:t>封闭</w:t>
                  </w:r>
                </w:p>
                <w:p>
                  <w:pPr>
                    <w:adjustRightInd w:val="0"/>
                    <w:snapToGrid w:val="0"/>
                    <w:jc w:val="center"/>
                    <w:rPr>
                      <w:szCs w:val="21"/>
                    </w:rPr>
                  </w:pPr>
                  <w:r>
                    <w:rPr>
                      <w:szCs w:val="21"/>
                    </w:rPr>
                    <w:t>建设覆盖工棚</w:t>
                  </w:r>
                </w:p>
              </w:tc>
              <w:tc>
                <w:tcPr>
                  <w:tcW w:w="1701" w:type="dxa"/>
                  <w:tcBorders>
                    <w:bottom w:val="single" w:color="auto" w:sz="6" w:space="0"/>
                  </w:tcBorders>
                  <w:vAlign w:val="center"/>
                </w:tcPr>
                <w:p>
                  <w:pPr>
                    <w:adjustRightInd w:val="0"/>
                    <w:snapToGrid w:val="0"/>
                    <w:jc w:val="center"/>
                    <w:rPr>
                      <w:szCs w:val="21"/>
                    </w:rPr>
                  </w:pPr>
                  <w:r>
                    <w:rPr>
                      <w:szCs w:val="21"/>
                    </w:rPr>
                    <w:t>70～80dB（A）</w:t>
                  </w:r>
                </w:p>
              </w:tc>
              <w:tc>
                <w:tcPr>
                  <w:tcW w:w="1134" w:type="dxa"/>
                  <w:tcBorders>
                    <w:bottom w:val="single" w:color="auto" w:sz="6" w:space="0"/>
                  </w:tcBorders>
                  <w:vAlign w:val="center"/>
                </w:tcPr>
                <w:p>
                  <w:pPr>
                    <w:adjustRightInd w:val="0"/>
                    <w:snapToGrid w:val="0"/>
                    <w:jc w:val="center"/>
                    <w:rPr>
                      <w:szCs w:val="21"/>
                    </w:rPr>
                  </w:pPr>
                  <w:r>
                    <w:rPr>
                      <w:szCs w:val="21"/>
                    </w:rPr>
                    <w:t>8h</w:t>
                  </w:r>
                </w:p>
              </w:tc>
              <w:tc>
                <w:tcPr>
                  <w:tcW w:w="1134" w:type="dxa"/>
                  <w:vMerge w:val="restart"/>
                  <w:tcBorders>
                    <w:bottom w:val="single" w:color="auto" w:sz="6" w:space="0"/>
                  </w:tcBorders>
                  <w:vAlign w:val="center"/>
                </w:tcPr>
                <w:p>
                  <w:pPr>
                    <w:adjustRightInd w:val="0"/>
                    <w:snapToGrid w:val="0"/>
                    <w:jc w:val="center"/>
                    <w:rPr>
                      <w:szCs w:val="21"/>
                    </w:rPr>
                  </w:pPr>
                  <w:r>
                    <w:rPr>
                      <w:szCs w:val="21"/>
                    </w:rPr>
                    <w:t>厂界</w:t>
                  </w:r>
                  <w:r>
                    <w:rPr>
                      <w:rFonts w:hint="eastAsia"/>
                      <w:szCs w:val="21"/>
                    </w:rPr>
                    <w:t>南侧、</w:t>
                  </w:r>
                  <w:r>
                    <w:rPr>
                      <w:szCs w:val="21"/>
                    </w:rPr>
                    <w:t>东侧</w:t>
                  </w:r>
                </w:p>
              </w:tc>
              <w:tc>
                <w:tcPr>
                  <w:tcW w:w="1165" w:type="dxa"/>
                  <w:vMerge w:val="restart"/>
                  <w:tcBorders>
                    <w:bottom w:val="single" w:color="auto" w:sz="6" w:space="0"/>
                  </w:tcBorders>
                  <w:vAlign w:val="center"/>
                </w:tcPr>
                <w:p>
                  <w:pPr>
                    <w:adjustRightInd w:val="0"/>
                    <w:snapToGrid w:val="0"/>
                    <w:jc w:val="center"/>
                    <w:rPr>
                      <w:szCs w:val="21"/>
                    </w:rPr>
                  </w:pPr>
                  <w:r>
                    <w:rPr>
                      <w:szCs w:val="21"/>
                    </w:rPr>
                    <w:t>每季度1次，每次1天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钻床</w:t>
                  </w:r>
                </w:p>
              </w:tc>
              <w:tc>
                <w:tcPr>
                  <w:tcW w:w="851" w:type="dxa"/>
                  <w:vAlign w:val="center"/>
                </w:tcPr>
                <w:p>
                  <w:pPr>
                    <w:adjustRightInd w:val="0"/>
                    <w:snapToGrid w:val="0"/>
                    <w:jc w:val="center"/>
                    <w:rPr>
                      <w:szCs w:val="21"/>
                    </w:rPr>
                  </w:pPr>
                  <w:r>
                    <w:rPr>
                      <w:szCs w:val="21"/>
                    </w:rPr>
                    <w:t>3台</w:t>
                  </w:r>
                </w:p>
              </w:tc>
              <w:tc>
                <w:tcPr>
                  <w:tcW w:w="1701" w:type="dxa"/>
                  <w:vAlign w:val="center"/>
                </w:tcPr>
                <w:p>
                  <w:pPr>
                    <w:adjustRightInd w:val="0"/>
                    <w:snapToGrid w:val="0"/>
                    <w:jc w:val="center"/>
                    <w:rPr>
                      <w:szCs w:val="21"/>
                    </w:rPr>
                  </w:pPr>
                  <w:r>
                    <w:rPr>
                      <w:szCs w:val="21"/>
                    </w:rPr>
                    <w:t>70～80dB（A）</w:t>
                  </w:r>
                </w:p>
              </w:tc>
              <w:tc>
                <w:tcPr>
                  <w:tcW w:w="4111" w:type="dxa"/>
                  <w:vAlign w:val="center"/>
                </w:tcPr>
                <w:p>
                  <w:pPr>
                    <w:adjustRightInd w:val="0"/>
                    <w:snapToGrid w:val="0"/>
                    <w:jc w:val="center"/>
                    <w:rPr>
                      <w:szCs w:val="21"/>
                    </w:rPr>
                  </w:pPr>
                  <w:r>
                    <w:rPr>
                      <w:szCs w:val="21"/>
                    </w:rPr>
                    <w:t>选用低噪设备，置于车间内、基础减振</w:t>
                  </w:r>
                </w:p>
              </w:tc>
              <w:tc>
                <w:tcPr>
                  <w:tcW w:w="1701" w:type="dxa"/>
                  <w:vAlign w:val="center"/>
                </w:tcPr>
                <w:p>
                  <w:pPr>
                    <w:adjustRightInd w:val="0"/>
                    <w:snapToGrid w:val="0"/>
                    <w:jc w:val="center"/>
                    <w:rPr>
                      <w:szCs w:val="21"/>
                    </w:rPr>
                  </w:pPr>
                  <w:r>
                    <w:rPr>
                      <w:szCs w:val="21"/>
                    </w:rPr>
                    <w:t>60～70dB（A）</w:t>
                  </w:r>
                </w:p>
              </w:tc>
              <w:tc>
                <w:tcPr>
                  <w:tcW w:w="1134" w:type="dxa"/>
                  <w:vAlign w:val="center"/>
                </w:tcPr>
                <w:p>
                  <w:pPr>
                    <w:adjustRightInd w:val="0"/>
                    <w:snapToGrid w:val="0"/>
                    <w:jc w:val="center"/>
                    <w:rPr>
                      <w:szCs w:val="21"/>
                    </w:rPr>
                  </w:pPr>
                  <w:r>
                    <w:rPr>
                      <w:szCs w:val="21"/>
                    </w:rPr>
                    <w:t>8h</w:t>
                  </w:r>
                </w:p>
              </w:tc>
              <w:tc>
                <w:tcPr>
                  <w:tcW w:w="1134" w:type="dxa"/>
                  <w:vMerge w:val="continue"/>
                  <w:vAlign w:val="center"/>
                </w:tcPr>
                <w:p>
                  <w:pPr>
                    <w:adjustRightInd w:val="0"/>
                    <w:snapToGrid w:val="0"/>
                    <w:jc w:val="center"/>
                    <w:rPr>
                      <w:szCs w:val="21"/>
                    </w:rPr>
                  </w:pPr>
                </w:p>
              </w:tc>
              <w:tc>
                <w:tcPr>
                  <w:tcW w:w="1165" w:type="dxa"/>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碾环机</w:t>
                  </w:r>
                </w:p>
              </w:tc>
              <w:tc>
                <w:tcPr>
                  <w:tcW w:w="851" w:type="dxa"/>
                  <w:vAlign w:val="center"/>
                </w:tcPr>
                <w:p>
                  <w:pPr>
                    <w:adjustRightInd w:val="0"/>
                    <w:snapToGrid w:val="0"/>
                    <w:jc w:val="center"/>
                    <w:rPr>
                      <w:szCs w:val="21"/>
                    </w:rPr>
                  </w:pPr>
                  <w:r>
                    <w:rPr>
                      <w:szCs w:val="21"/>
                    </w:rPr>
                    <w:t>1台</w:t>
                  </w:r>
                </w:p>
              </w:tc>
              <w:tc>
                <w:tcPr>
                  <w:tcW w:w="1701" w:type="dxa"/>
                  <w:vAlign w:val="center"/>
                </w:tcPr>
                <w:p>
                  <w:pPr>
                    <w:adjustRightInd w:val="0"/>
                    <w:snapToGrid w:val="0"/>
                    <w:jc w:val="center"/>
                    <w:rPr>
                      <w:szCs w:val="21"/>
                    </w:rPr>
                  </w:pPr>
                  <w:r>
                    <w:rPr>
                      <w:szCs w:val="21"/>
                    </w:rPr>
                    <w:t>70～80dB（A）</w:t>
                  </w:r>
                </w:p>
              </w:tc>
              <w:tc>
                <w:tcPr>
                  <w:tcW w:w="4111" w:type="dxa"/>
                  <w:vAlign w:val="center"/>
                </w:tcPr>
                <w:p>
                  <w:pPr>
                    <w:adjustRightInd w:val="0"/>
                    <w:snapToGrid w:val="0"/>
                    <w:jc w:val="center"/>
                    <w:rPr>
                      <w:szCs w:val="21"/>
                    </w:rPr>
                  </w:pPr>
                  <w:r>
                    <w:rPr>
                      <w:szCs w:val="21"/>
                    </w:rPr>
                    <w:t>选用低噪设备，置于车间内、基础减振</w:t>
                  </w:r>
                </w:p>
              </w:tc>
              <w:tc>
                <w:tcPr>
                  <w:tcW w:w="1701" w:type="dxa"/>
                  <w:vAlign w:val="center"/>
                </w:tcPr>
                <w:p>
                  <w:pPr>
                    <w:adjustRightInd w:val="0"/>
                    <w:snapToGrid w:val="0"/>
                    <w:jc w:val="center"/>
                    <w:rPr>
                      <w:szCs w:val="21"/>
                    </w:rPr>
                  </w:pPr>
                  <w:r>
                    <w:rPr>
                      <w:szCs w:val="21"/>
                    </w:rPr>
                    <w:t>60～70dB（A）</w:t>
                  </w:r>
                </w:p>
              </w:tc>
              <w:tc>
                <w:tcPr>
                  <w:tcW w:w="1134" w:type="dxa"/>
                  <w:vAlign w:val="center"/>
                </w:tcPr>
                <w:p>
                  <w:pPr>
                    <w:adjustRightInd w:val="0"/>
                    <w:snapToGrid w:val="0"/>
                    <w:jc w:val="center"/>
                    <w:rPr>
                      <w:szCs w:val="21"/>
                    </w:rPr>
                  </w:pPr>
                  <w:r>
                    <w:rPr>
                      <w:szCs w:val="21"/>
                    </w:rPr>
                    <w:t>8h</w:t>
                  </w:r>
                </w:p>
              </w:tc>
              <w:tc>
                <w:tcPr>
                  <w:tcW w:w="1134" w:type="dxa"/>
                  <w:vMerge w:val="continue"/>
                  <w:vAlign w:val="center"/>
                </w:tcPr>
                <w:p>
                  <w:pPr>
                    <w:adjustRightInd w:val="0"/>
                    <w:snapToGrid w:val="0"/>
                    <w:jc w:val="center"/>
                    <w:rPr>
                      <w:szCs w:val="21"/>
                    </w:rPr>
                  </w:pPr>
                </w:p>
              </w:tc>
              <w:tc>
                <w:tcPr>
                  <w:tcW w:w="1165" w:type="dxa"/>
                  <w:vMerge w:val="continue"/>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3" w:type="dxa"/>
                  <w:vAlign w:val="center"/>
                </w:tcPr>
                <w:p>
                  <w:pPr>
                    <w:adjustRightInd w:val="0"/>
                    <w:snapToGrid w:val="0"/>
                    <w:jc w:val="center"/>
                    <w:rPr>
                      <w:szCs w:val="21"/>
                    </w:rPr>
                  </w:pPr>
                  <w:r>
                    <w:rPr>
                      <w:szCs w:val="21"/>
                    </w:rPr>
                    <w:t>风机</w:t>
                  </w:r>
                </w:p>
              </w:tc>
              <w:tc>
                <w:tcPr>
                  <w:tcW w:w="851" w:type="dxa"/>
                  <w:vAlign w:val="center"/>
                </w:tcPr>
                <w:p>
                  <w:pPr>
                    <w:adjustRightInd w:val="0"/>
                    <w:snapToGrid w:val="0"/>
                    <w:jc w:val="center"/>
                    <w:rPr>
                      <w:szCs w:val="21"/>
                    </w:rPr>
                  </w:pPr>
                  <w:r>
                    <w:rPr>
                      <w:szCs w:val="21"/>
                    </w:rPr>
                    <w:t>1台</w:t>
                  </w:r>
                </w:p>
              </w:tc>
              <w:tc>
                <w:tcPr>
                  <w:tcW w:w="1701" w:type="dxa"/>
                  <w:vAlign w:val="center"/>
                </w:tcPr>
                <w:p>
                  <w:pPr>
                    <w:adjustRightInd w:val="0"/>
                    <w:snapToGrid w:val="0"/>
                    <w:jc w:val="center"/>
                    <w:rPr>
                      <w:szCs w:val="21"/>
                    </w:rPr>
                  </w:pPr>
                  <w:r>
                    <w:rPr>
                      <w:rFonts w:hint="eastAsia"/>
                      <w:szCs w:val="21"/>
                    </w:rPr>
                    <w:t>80</w:t>
                  </w:r>
                  <w:r>
                    <w:rPr>
                      <w:szCs w:val="21"/>
                    </w:rPr>
                    <w:t>～</w:t>
                  </w:r>
                  <w:r>
                    <w:rPr>
                      <w:rFonts w:hint="eastAsia"/>
                      <w:szCs w:val="21"/>
                    </w:rPr>
                    <w:t>90</w:t>
                  </w:r>
                  <w:r>
                    <w:rPr>
                      <w:szCs w:val="21"/>
                    </w:rPr>
                    <w:t>dB（A）</w:t>
                  </w:r>
                </w:p>
              </w:tc>
              <w:tc>
                <w:tcPr>
                  <w:tcW w:w="4111" w:type="dxa"/>
                  <w:vAlign w:val="center"/>
                </w:tcPr>
                <w:p>
                  <w:pPr>
                    <w:adjustRightInd w:val="0"/>
                    <w:snapToGrid w:val="0"/>
                    <w:jc w:val="center"/>
                    <w:rPr>
                      <w:szCs w:val="21"/>
                    </w:rPr>
                  </w:pPr>
                  <w:r>
                    <w:rPr>
                      <w:szCs w:val="21"/>
                    </w:rPr>
                    <w:t>选用低噪声设备，密封、减振</w:t>
                  </w:r>
                  <w:r>
                    <w:rPr>
                      <w:rFonts w:hint="eastAsia"/>
                      <w:szCs w:val="21"/>
                    </w:rPr>
                    <w:t>，</w:t>
                  </w:r>
                  <w:r>
                    <w:rPr>
                      <w:szCs w:val="21"/>
                    </w:rPr>
                    <w:t>加装消音器</w:t>
                  </w:r>
                </w:p>
              </w:tc>
              <w:tc>
                <w:tcPr>
                  <w:tcW w:w="1701" w:type="dxa"/>
                  <w:vAlign w:val="center"/>
                </w:tcPr>
                <w:p>
                  <w:pPr>
                    <w:adjustRightInd w:val="0"/>
                    <w:snapToGrid w:val="0"/>
                    <w:jc w:val="center"/>
                    <w:rPr>
                      <w:szCs w:val="21"/>
                    </w:rPr>
                  </w:pPr>
                  <w:r>
                    <w:rPr>
                      <w:szCs w:val="21"/>
                    </w:rPr>
                    <w:t>60～70dB（A）</w:t>
                  </w:r>
                </w:p>
              </w:tc>
              <w:tc>
                <w:tcPr>
                  <w:tcW w:w="1134" w:type="dxa"/>
                  <w:vAlign w:val="center"/>
                </w:tcPr>
                <w:p>
                  <w:pPr>
                    <w:adjustRightInd w:val="0"/>
                    <w:snapToGrid w:val="0"/>
                    <w:jc w:val="center"/>
                    <w:rPr>
                      <w:szCs w:val="21"/>
                    </w:rPr>
                  </w:pPr>
                  <w:r>
                    <w:rPr>
                      <w:szCs w:val="21"/>
                    </w:rPr>
                    <w:t>8h</w:t>
                  </w:r>
                </w:p>
              </w:tc>
              <w:tc>
                <w:tcPr>
                  <w:tcW w:w="1134" w:type="dxa"/>
                  <w:vMerge w:val="continue"/>
                  <w:vAlign w:val="center"/>
                </w:tcPr>
                <w:p>
                  <w:pPr>
                    <w:adjustRightInd w:val="0"/>
                    <w:snapToGrid w:val="0"/>
                    <w:jc w:val="center"/>
                    <w:rPr>
                      <w:szCs w:val="21"/>
                    </w:rPr>
                  </w:pPr>
                </w:p>
              </w:tc>
              <w:tc>
                <w:tcPr>
                  <w:tcW w:w="1165" w:type="dxa"/>
                  <w:vMerge w:val="continue"/>
                  <w:vAlign w:val="center"/>
                </w:tcPr>
                <w:p>
                  <w:pPr>
                    <w:adjustRightInd w:val="0"/>
                    <w:snapToGrid w:val="0"/>
                    <w:jc w:val="center"/>
                    <w:rPr>
                      <w:szCs w:val="21"/>
                    </w:rPr>
                  </w:pPr>
                </w:p>
              </w:tc>
            </w:tr>
          </w:tbl>
          <w:p>
            <w:pPr>
              <w:adjustRightInd w:val="0"/>
              <w:snapToGrid w:val="0"/>
              <w:jc w:val="center"/>
              <w:rPr>
                <w:b/>
                <w:sz w:val="24"/>
              </w:rPr>
            </w:pPr>
          </w:p>
          <w:p>
            <w:pPr>
              <w:adjustRightInd w:val="0"/>
              <w:snapToGrid w:val="0"/>
              <w:jc w:val="center"/>
              <w:rPr>
                <w:b/>
                <w:sz w:val="24"/>
              </w:rPr>
            </w:pPr>
          </w:p>
          <w:p>
            <w:pPr>
              <w:adjustRightInd w:val="0"/>
              <w:snapToGrid w:val="0"/>
              <w:rPr>
                <w:b/>
                <w:sz w:val="24"/>
              </w:rPr>
            </w:pPr>
          </w:p>
        </w:tc>
      </w:tr>
    </w:tbl>
    <w:p>
      <w:pPr>
        <w:adjustRightInd w:val="0"/>
        <w:snapToGrid w:val="0"/>
        <w:jc w:val="center"/>
        <w:rPr>
          <w:bCs/>
          <w:sz w:val="24"/>
        </w:rPr>
        <w:sectPr>
          <w:pgSz w:w="16838" w:h="11906" w:orient="landscape"/>
          <w:pgMar w:top="1531" w:right="1701" w:bottom="1531" w:left="1701" w:header="851" w:footer="1077" w:gutter="0"/>
          <w:cols w:space="720" w:num="1"/>
          <w:docGrid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9" w:hRule="atLeast"/>
        </w:trPr>
        <w:tc>
          <w:tcPr>
            <w:tcW w:w="392" w:type="dxa"/>
            <w:vAlign w:val="center"/>
          </w:tcPr>
          <w:p>
            <w:pPr>
              <w:adjustRightInd w:val="0"/>
              <w:snapToGrid w:val="0"/>
              <w:jc w:val="center"/>
              <w:rPr>
                <w:bCs/>
                <w:sz w:val="24"/>
              </w:rPr>
            </w:pPr>
            <w:r>
              <w:rPr>
                <w:bCs/>
                <w:sz w:val="24"/>
              </w:rPr>
              <w:t>运营期环境影响和保护措施</w:t>
            </w:r>
          </w:p>
        </w:tc>
        <w:tc>
          <w:tcPr>
            <w:tcW w:w="8668" w:type="dxa"/>
          </w:tcPr>
          <w:p>
            <w:pPr>
              <w:spacing w:line="360" w:lineRule="auto"/>
              <w:ind w:firstLine="482" w:firstLineChars="200"/>
              <w:rPr>
                <w:b/>
                <w:bCs/>
                <w:sz w:val="24"/>
              </w:rPr>
            </w:pPr>
            <w:r>
              <w:rPr>
                <w:b/>
                <w:bCs/>
                <w:sz w:val="24"/>
              </w:rPr>
              <w:t>1、噪声防治措施</w:t>
            </w:r>
          </w:p>
          <w:p>
            <w:pPr>
              <w:spacing w:line="360" w:lineRule="auto"/>
              <w:ind w:firstLine="480" w:firstLineChars="200"/>
              <w:rPr>
                <w:sz w:val="24"/>
              </w:rPr>
            </w:pPr>
            <w:r>
              <w:rPr>
                <w:sz w:val="24"/>
              </w:rPr>
              <w:t>（1）下料、机加工车间及碾环车间内设备均选用低噪声设备，并在室内布置；</w:t>
            </w:r>
          </w:p>
          <w:p>
            <w:pPr>
              <w:spacing w:line="360" w:lineRule="auto"/>
              <w:ind w:firstLine="480" w:firstLineChars="200"/>
              <w:rPr>
                <w:sz w:val="24"/>
              </w:rPr>
            </w:pPr>
            <w:r>
              <w:rPr>
                <w:sz w:val="24"/>
              </w:rPr>
              <w:t>（2）锻锤目前为露天安装，对周围环境造成影响。为防止过大振动对设备基础、房屋基础和墙体产生不良影响，要求锻锤采用钢筋砼基础，其质量体积应大于3m</w:t>
            </w:r>
            <w:r>
              <w:rPr>
                <w:sz w:val="24"/>
                <w:vertAlign w:val="superscript"/>
              </w:rPr>
              <w:t>3</w:t>
            </w:r>
            <w:r>
              <w:rPr>
                <w:sz w:val="24"/>
              </w:rPr>
              <w:t>，并设置围挡，建设覆盖工棚，减轻对周围环境的影响；</w:t>
            </w:r>
          </w:p>
          <w:p>
            <w:pPr>
              <w:spacing w:line="360" w:lineRule="auto"/>
              <w:ind w:firstLine="480" w:firstLineChars="200"/>
              <w:rPr>
                <w:bCs/>
                <w:sz w:val="24"/>
              </w:rPr>
            </w:pPr>
            <w:r>
              <w:rPr>
                <w:sz w:val="24"/>
              </w:rPr>
              <w:t>（3）</w:t>
            </w:r>
            <w:r>
              <w:rPr>
                <w:bCs/>
                <w:sz w:val="24"/>
              </w:rPr>
              <w:t>建立设备定期维护、保养的管理制度，保证设备正常运转，以防止设备故障形式的非正常生产噪声；加强职工环保意识教育，提倡文明生产，防止噪声；强化行车管理制度，严禁鸣笛，进入厂区低速行驶，最大限度减少流动噪声源；</w:t>
            </w:r>
          </w:p>
          <w:p>
            <w:pPr>
              <w:spacing w:line="360" w:lineRule="auto"/>
              <w:ind w:firstLine="480" w:firstLineChars="200"/>
              <w:rPr>
                <w:bCs/>
                <w:sz w:val="24"/>
              </w:rPr>
            </w:pPr>
            <w:r>
              <w:rPr>
                <w:bCs/>
                <w:sz w:val="24"/>
              </w:rPr>
              <w:t>（4）在厂区四周种上绿化带等措施来降低对外界的影响，并应加高厂区围墙的高度，进一步减少噪声对外环境的影响；</w:t>
            </w:r>
          </w:p>
          <w:p>
            <w:pPr>
              <w:spacing w:line="360" w:lineRule="auto"/>
              <w:ind w:firstLine="480" w:firstLineChars="200"/>
              <w:rPr>
                <w:bCs/>
                <w:sz w:val="24"/>
              </w:rPr>
            </w:pPr>
            <w:r>
              <w:rPr>
                <w:bCs/>
                <w:sz w:val="24"/>
              </w:rPr>
              <w:t>（5）严禁在夜间生产。</w:t>
            </w:r>
          </w:p>
          <w:p>
            <w:pPr>
              <w:pStyle w:val="6"/>
              <w:snapToGrid w:val="0"/>
              <w:spacing w:line="360" w:lineRule="auto"/>
              <w:ind w:firstLine="482" w:firstLineChars="200"/>
              <w:jc w:val="left"/>
              <w:rPr>
                <w:rFonts w:ascii="Times New Roman" w:hAnsi="Times New Roman" w:cs="Times New Roman"/>
                <w:b/>
                <w:bCs/>
                <w:sz w:val="24"/>
                <w:szCs w:val="24"/>
              </w:rPr>
            </w:pPr>
            <w:r>
              <w:rPr>
                <w:rFonts w:ascii="Times New Roman" w:hAnsi="Times New Roman" w:cs="Times New Roman"/>
                <w:b/>
                <w:bCs/>
                <w:sz w:val="24"/>
                <w:szCs w:val="24"/>
              </w:rPr>
              <w:t>2、噪声预测模式</w:t>
            </w:r>
          </w:p>
          <w:p>
            <w:pPr>
              <w:pStyle w:val="6"/>
              <w:snapToGrid w:val="0"/>
              <w:spacing w:line="360" w:lineRule="auto"/>
              <w:ind w:firstLine="480"/>
              <w:rPr>
                <w:rFonts w:ascii="Times New Roman" w:hAnsi="Times New Roman" w:cs="Times New Roman"/>
                <w:sz w:val="24"/>
                <w:szCs w:val="24"/>
              </w:rPr>
            </w:pPr>
            <w:r>
              <w:rPr>
                <w:rFonts w:ascii="Times New Roman" w:hAnsi="Times New Roman" w:cs="Times New Roman"/>
                <w:sz w:val="24"/>
                <w:szCs w:val="24"/>
              </w:rPr>
              <w:t>（1）预测模式</w:t>
            </w:r>
          </w:p>
          <w:p>
            <w:pPr>
              <w:pStyle w:val="6"/>
              <w:snapToGrid w:val="0"/>
              <w:spacing w:line="360" w:lineRule="auto"/>
              <w:ind w:firstLine="480"/>
              <w:rPr>
                <w:rFonts w:ascii="Times New Roman" w:hAnsi="Times New Roman" w:cs="Times New Roman"/>
                <w:sz w:val="24"/>
                <w:szCs w:val="24"/>
              </w:rPr>
            </w:pPr>
            <w:r>
              <w:rPr>
                <w:rFonts w:ascii="Times New Roman" w:hAnsi="Times New Roman" w:cs="Times New Roman"/>
                <w:sz w:val="24"/>
                <w:szCs w:val="24"/>
              </w:rPr>
              <w:t>本次评价采取《环境影响评价技术导则声环境》（HJ2.4-2009）的导则上推荐模式进行噪声预测。</w:t>
            </w:r>
          </w:p>
          <w:p>
            <w:pPr>
              <w:pStyle w:val="6"/>
              <w:snapToGrid w:val="0"/>
              <w:spacing w:line="360" w:lineRule="auto"/>
              <w:ind w:firstLine="480" w:firstLineChars="200"/>
              <w:rPr>
                <w:rFonts w:ascii="Times New Roman" w:hAnsi="Times New Roman" w:cs="Times New Roman"/>
                <w:sz w:val="24"/>
                <w:szCs w:val="24"/>
              </w:rPr>
            </w:pPr>
            <w:r>
              <w:rPr>
                <w:rFonts w:hint="eastAsia" w:hAnsi="宋体" w:cs="宋体"/>
                <w:sz w:val="24"/>
                <w:szCs w:val="24"/>
              </w:rPr>
              <w:t>①</w:t>
            </w:r>
            <w:r>
              <w:rPr>
                <w:rFonts w:ascii="Times New Roman" w:hAnsi="Times New Roman" w:cs="Times New Roman"/>
                <w:sz w:val="24"/>
                <w:szCs w:val="24"/>
              </w:rPr>
              <w:t>声级计算</w:t>
            </w:r>
          </w:p>
          <w:p>
            <w:pPr>
              <w:pStyle w:val="6"/>
              <w:snapToGrid w:val="0"/>
              <w:spacing w:line="360" w:lineRule="auto"/>
              <w:ind w:firstLine="480"/>
              <w:rPr>
                <w:rFonts w:ascii="Times New Roman" w:hAnsi="Times New Roman" w:cs="Times New Roman"/>
                <w:sz w:val="24"/>
                <w:szCs w:val="24"/>
              </w:rPr>
            </w:pPr>
            <w:r>
              <w:rPr>
                <w:rFonts w:ascii="Times New Roman" w:hAnsi="Times New Roman" w:cs="Times New Roman"/>
                <w:sz w:val="24"/>
                <w:szCs w:val="24"/>
              </w:rPr>
              <w:t>建设项目声源在预测点产生的等效声级贡献值(Leqg)计算公式：</w:t>
            </w:r>
          </w:p>
          <w:p>
            <w:pPr>
              <w:pStyle w:val="6"/>
              <w:snapToGrid w:val="0"/>
              <w:spacing w:line="360" w:lineRule="auto"/>
              <w:ind w:left="447" w:leftChars="213" w:firstLine="32"/>
              <w:rPr>
                <w:rFonts w:ascii="Times New Roman" w:hAnsi="Times New Roman" w:cs="Times New Roman"/>
                <w:sz w:val="24"/>
                <w:szCs w:val="24"/>
              </w:rPr>
            </w:pPr>
            <m:oMathPara>
              <m:oMathParaPr>
                <m:jc m:val="left"/>
              </m:oMathParaPr>
              <m:oMath>
                <m:sSub>
                  <m:sSubPr>
                    <m:ctrlPr>
                      <w:rPr>
                        <w:rFonts w:ascii="Cambria Math" w:hAnsi="Cambria Math" w:cs="Times New Roman"/>
                        <w:sz w:val="24"/>
                      </w:rPr>
                    </m:ctrlPr>
                  </m:sSubPr>
                  <m:e>
                    <m:r>
                      <m:rPr/>
                      <w:rPr>
                        <w:rFonts w:ascii="Cambria Math" w:hAnsi="Cambria Math" w:cs="Times New Roman"/>
                        <w:sz w:val="24"/>
                      </w:rPr>
                      <m:t>L</m:t>
                    </m:r>
                    <m:ctrlPr>
                      <w:rPr>
                        <w:rFonts w:ascii="Cambria Math" w:hAnsi="Cambria Math" w:cs="Times New Roman"/>
                        <w:sz w:val="24"/>
                      </w:rPr>
                    </m:ctrlPr>
                  </m:e>
                  <m:sub>
                    <m:r>
                      <m:rPr/>
                      <w:rPr>
                        <w:rFonts w:ascii="Cambria Math" w:hAnsi="Cambria Math" w:cs="Times New Roman"/>
                        <w:sz w:val="24"/>
                      </w:rPr>
                      <m:t>eqg</m:t>
                    </m:r>
                    <m:ctrlPr>
                      <w:rPr>
                        <w:rFonts w:ascii="Cambria Math" w:hAnsi="Cambria Math" w:cs="Times New Roman"/>
                        <w:sz w:val="24"/>
                      </w:rPr>
                    </m:ctrlPr>
                  </m:sub>
                </m:sSub>
                <m:r>
                  <m:rPr/>
                  <w:rPr>
                    <w:rFonts w:ascii="Cambria Math" w:hAnsi="Cambria Math" w:cs="Times New Roman"/>
                    <w:sz w:val="24"/>
                  </w:rPr>
                  <m:t>=10lg</m:t>
                </m:r>
                <m:d>
                  <m:dPr>
                    <m:ctrlPr>
                      <w:rPr>
                        <w:rFonts w:ascii="Cambria Math" w:hAnsi="Cambria Math" w:cs="Times New Roman"/>
                        <w:i/>
                        <w:sz w:val="24"/>
                      </w:rPr>
                    </m:ctrlPr>
                  </m:dPr>
                  <m:e>
                    <m:f>
                      <m:fPr>
                        <m:ctrlPr>
                          <w:rPr>
                            <w:rFonts w:ascii="Cambria Math" w:hAnsi="Cambria Math" w:cs="Times New Roman"/>
                            <w:i/>
                            <w:sz w:val="24"/>
                          </w:rPr>
                        </m:ctrlPr>
                      </m:fPr>
                      <m:num>
                        <m:r>
                          <m:rPr/>
                          <w:rPr>
                            <w:rFonts w:ascii="Cambria Math" w:hAnsi="Cambria Math" w:cs="Times New Roman"/>
                            <w:sz w:val="24"/>
                          </w:rPr>
                          <m:t>1</m:t>
                        </m:r>
                        <m:ctrlPr>
                          <w:rPr>
                            <w:rFonts w:ascii="Cambria Math" w:hAnsi="Cambria Math" w:cs="Times New Roman"/>
                            <w:i/>
                            <w:sz w:val="24"/>
                          </w:rPr>
                        </m:ctrlPr>
                      </m:num>
                      <m:den>
                        <m:r>
                          <m:rPr/>
                          <w:rPr>
                            <w:rFonts w:ascii="Cambria Math" w:hAnsi="Cambria Math" w:cs="Times New Roman"/>
                            <w:sz w:val="24"/>
                          </w:rPr>
                          <m:t>T</m:t>
                        </m:r>
                        <m:ctrlPr>
                          <w:rPr>
                            <w:rFonts w:ascii="Cambria Math" w:hAnsi="Cambria Math" w:cs="Times New Roman"/>
                            <w:i/>
                            <w:sz w:val="24"/>
                          </w:rPr>
                        </m:ctrlPr>
                      </m:den>
                    </m:f>
                    <m:nary>
                      <m:naryPr>
                        <m:chr m:val="∑"/>
                        <m:limLoc m:val="undOvr"/>
                        <m:supHide m:val="1"/>
                        <m:ctrlPr>
                          <w:rPr>
                            <w:rFonts w:ascii="Cambria Math" w:hAnsi="Cambria Math" w:cs="Times New Roman"/>
                            <w:i/>
                            <w:sz w:val="24"/>
                          </w:rPr>
                        </m:ctrlPr>
                      </m:naryPr>
                      <m:sub>
                        <m:r>
                          <m:rPr/>
                          <w:rPr>
                            <w:rFonts w:ascii="Cambria Math" w:hAnsi="Cambria Math" w:cs="Times New Roman"/>
                            <w:sz w:val="24"/>
                          </w:rPr>
                          <m:t>i</m:t>
                        </m:r>
                        <m:ctrlPr>
                          <w:rPr>
                            <w:rFonts w:ascii="Cambria Math" w:hAnsi="Cambria Math" w:cs="Times New Roman"/>
                            <w:i/>
                            <w:sz w:val="24"/>
                          </w:rPr>
                        </m:ctrlPr>
                      </m:sub>
                      <m:sup>
                        <m:ctrlPr>
                          <w:rPr>
                            <w:rFonts w:ascii="Cambria Math" w:hAnsi="Cambria Math" w:cs="Times New Roman"/>
                            <w:i/>
                            <w:sz w:val="24"/>
                          </w:rPr>
                        </m:ctrlPr>
                      </m:sup>
                      <m:e>
                        <m:sSub>
                          <m:sSubPr>
                            <m:ctrlPr>
                              <w:rPr>
                                <w:rFonts w:ascii="Cambria Math" w:hAnsi="Cambria Math" w:cs="Times New Roman"/>
                                <w:i/>
                                <w:sz w:val="24"/>
                              </w:rPr>
                            </m:ctrlPr>
                          </m:sSubPr>
                          <m:e>
                            <m:r>
                              <m:rPr/>
                              <w:rPr>
                                <w:rFonts w:ascii="Cambria Math" w:hAnsi="Cambria Math" w:cs="Times New Roman"/>
                                <w:sz w:val="24"/>
                              </w:rPr>
                              <m:t>t</m:t>
                            </m:r>
                            <m:ctrlPr>
                              <w:rPr>
                                <w:rFonts w:ascii="Cambria Math" w:hAnsi="Cambria Math" w:cs="Times New Roman"/>
                                <w:i/>
                                <w:sz w:val="24"/>
                              </w:rPr>
                            </m:ctrlPr>
                          </m:e>
                          <m:sub>
                            <m:r>
                              <m:rPr/>
                              <w:rPr>
                                <w:rFonts w:ascii="Cambria Math" w:hAnsi="Cambria Math" w:cs="Times New Roman"/>
                                <w:sz w:val="24"/>
                              </w:rPr>
                              <m:t>i</m:t>
                            </m:r>
                            <m:ctrlPr>
                              <w:rPr>
                                <w:rFonts w:ascii="Cambria Math" w:hAnsi="Cambria Math" w:cs="Times New Roman"/>
                                <w:i/>
                                <w:sz w:val="24"/>
                              </w:rPr>
                            </m:ctrlPr>
                          </m:sub>
                        </m:sSub>
                        <m:sSup>
                          <m:sSupPr>
                            <m:ctrlPr>
                              <w:rPr>
                                <w:rFonts w:ascii="Cambria Math" w:hAnsi="Cambria Math" w:cs="Times New Roman"/>
                                <w:i/>
                                <w:sz w:val="24"/>
                              </w:rPr>
                            </m:ctrlPr>
                          </m:sSupPr>
                          <m:e>
                            <m:r>
                              <m:rPr/>
                              <w:rPr>
                                <w:rFonts w:ascii="Cambria Math" w:hAnsi="Cambria Math" w:cs="Times New Roman"/>
                                <w:sz w:val="24"/>
                              </w:rPr>
                              <m:t>10</m:t>
                            </m:r>
                            <m:ctrlPr>
                              <w:rPr>
                                <w:rFonts w:ascii="Cambria Math" w:hAnsi="Cambria Math" w:cs="Times New Roman"/>
                                <w:i/>
                                <w:sz w:val="24"/>
                              </w:rPr>
                            </m:ctrlPr>
                          </m:e>
                          <m:sup>
                            <m:r>
                              <m:rPr/>
                              <w:rPr>
                                <w:rFonts w:ascii="Cambria Math" w:hAnsi="Cambria Math" w:cs="Times New Roman"/>
                                <w:sz w:val="24"/>
                              </w:rPr>
                              <m:t>0.1</m:t>
                            </m:r>
                            <m:sSub>
                              <m:sSubPr>
                                <m:ctrlPr>
                                  <w:rPr>
                                    <w:rFonts w:ascii="Cambria Math" w:hAnsi="Cambria Math" w:cs="Times New Roman"/>
                                    <w:i/>
                                    <w:sz w:val="24"/>
                                  </w:rPr>
                                </m:ctrlPr>
                              </m:sSubPr>
                              <m:e>
                                <m:r>
                                  <m:rPr/>
                                  <w:rPr>
                                    <w:rFonts w:ascii="Cambria Math" w:hAnsi="Cambria Math" w:cs="Times New Roman"/>
                                    <w:sz w:val="24"/>
                                  </w:rPr>
                                  <m:t>L</m:t>
                                </m:r>
                                <m:ctrlPr>
                                  <w:rPr>
                                    <w:rFonts w:ascii="Cambria Math" w:hAnsi="Cambria Math" w:cs="Times New Roman"/>
                                    <w:i/>
                                    <w:sz w:val="24"/>
                                  </w:rPr>
                                </m:ctrlPr>
                              </m:e>
                              <m:sub>
                                <m:r>
                                  <m:rPr/>
                                  <w:rPr>
                                    <w:rFonts w:ascii="Cambria Math" w:hAnsi="Cambria Math" w:cs="Times New Roman"/>
                                    <w:sz w:val="24"/>
                                  </w:rPr>
                                  <m:t>Ai</m:t>
                                </m:r>
                                <m:ctrlPr>
                                  <w:rPr>
                                    <w:rFonts w:ascii="Cambria Math" w:hAnsi="Cambria Math" w:cs="Times New Roman"/>
                                    <w:i/>
                                    <w:sz w:val="24"/>
                                  </w:rPr>
                                </m:ctrlPr>
                              </m:sub>
                            </m:sSub>
                            <m:ctrlPr>
                              <w:rPr>
                                <w:rFonts w:ascii="Cambria Math" w:hAnsi="Cambria Math" w:cs="Times New Roman"/>
                                <w:i/>
                                <w:sz w:val="24"/>
                              </w:rPr>
                            </m:ctrlPr>
                          </m:sup>
                        </m:sSup>
                        <m:ctrlPr>
                          <w:rPr>
                            <w:rFonts w:ascii="Cambria Math" w:hAnsi="Cambria Math" w:cs="Times New Roman"/>
                            <w:i/>
                            <w:sz w:val="24"/>
                          </w:rPr>
                        </m:ctrlPr>
                      </m:e>
                    </m:nary>
                    <m:ctrlPr>
                      <w:rPr>
                        <w:rFonts w:ascii="Cambria Math" w:hAnsi="Cambria Math" w:cs="Times New Roman"/>
                        <w:i/>
                        <w:sz w:val="24"/>
                      </w:rPr>
                    </m:ctrlPr>
                  </m:e>
                </m:d>
              </m:oMath>
            </m:oMathPara>
          </w:p>
          <w:p>
            <w:pPr>
              <w:pStyle w:val="6"/>
              <w:snapToGrid w:val="0"/>
              <w:spacing w:line="360" w:lineRule="auto"/>
              <w:ind w:firstLine="480"/>
              <w:rPr>
                <w:rFonts w:ascii="Times New Roman" w:hAnsi="Times New Roman" w:cs="Times New Roman"/>
                <w:sz w:val="24"/>
                <w:szCs w:val="24"/>
              </w:rPr>
            </w:pPr>
            <w:r>
              <w:rPr>
                <w:rFonts w:ascii="Times New Roman" w:hAnsi="Times New Roman" w:cs="Times New Roman"/>
                <w:sz w:val="24"/>
                <w:szCs w:val="24"/>
              </w:rPr>
              <w:t>式中：Leqg—建设项目声源在预测点的等效声级贡献值，dB(A)；</w:t>
            </w:r>
          </w:p>
          <w:p>
            <w:pPr>
              <w:pStyle w:val="6"/>
              <w:snapToGrid w:val="0"/>
              <w:spacing w:line="360" w:lineRule="auto"/>
              <w:ind w:firstLine="1157"/>
              <w:rPr>
                <w:rFonts w:ascii="Times New Roman" w:hAnsi="Times New Roman" w:cs="Times New Roman"/>
                <w:sz w:val="24"/>
                <w:szCs w:val="24"/>
              </w:rPr>
            </w:pPr>
            <w:r>
              <w:rPr>
                <w:rFonts w:ascii="Times New Roman" w:hAnsi="Times New Roman" w:cs="Times New Roman"/>
                <w:sz w:val="24"/>
                <w:szCs w:val="24"/>
              </w:rPr>
              <w:t>LA</w:t>
            </w:r>
            <w:r>
              <w:rPr>
                <w:rFonts w:ascii="Times New Roman" w:hAnsi="Times New Roman" w:cs="Times New Roman"/>
                <w:sz w:val="24"/>
                <w:szCs w:val="24"/>
                <w:vertAlign w:val="subscript"/>
              </w:rPr>
              <w:t>i</w:t>
            </w:r>
            <w:r>
              <w:rPr>
                <w:rFonts w:ascii="Times New Roman" w:hAnsi="Times New Roman" w:cs="Times New Roman"/>
                <w:sz w:val="24"/>
                <w:szCs w:val="24"/>
              </w:rPr>
              <w:t>—i声源在预测点产生的A声级，dB(A)；</w:t>
            </w:r>
          </w:p>
          <w:p>
            <w:pPr>
              <w:pStyle w:val="6"/>
              <w:snapToGrid w:val="0"/>
              <w:spacing w:line="360" w:lineRule="auto"/>
              <w:ind w:firstLine="1157"/>
              <w:rPr>
                <w:rFonts w:ascii="Times New Roman" w:hAnsi="Times New Roman" w:cs="Times New Roman"/>
                <w:sz w:val="24"/>
                <w:szCs w:val="24"/>
              </w:rPr>
            </w:pPr>
            <w:r>
              <w:rPr>
                <w:rFonts w:ascii="Times New Roman" w:hAnsi="Times New Roman" w:cs="Times New Roman"/>
                <w:sz w:val="24"/>
                <w:szCs w:val="24"/>
              </w:rPr>
              <w:t>T—预测计算的时间段，s；</w:t>
            </w:r>
          </w:p>
          <w:p>
            <w:pPr>
              <w:pStyle w:val="6"/>
              <w:snapToGrid w:val="0"/>
              <w:spacing w:line="360" w:lineRule="auto"/>
              <w:ind w:firstLine="1157"/>
              <w:rPr>
                <w:rFonts w:ascii="Times New Roman" w:hAnsi="Times New Roman" w:cs="Times New Roman"/>
                <w:sz w:val="24"/>
                <w:szCs w:val="24"/>
              </w:rPr>
            </w:pPr>
            <w:r>
              <w:rPr>
                <w:rFonts w:ascii="Times New Roman" w:hAnsi="Times New Roman" w:cs="Times New Roman"/>
                <w:sz w:val="24"/>
                <w:szCs w:val="24"/>
              </w:rPr>
              <w:t>t</w:t>
            </w:r>
            <w:r>
              <w:rPr>
                <w:rFonts w:ascii="Times New Roman" w:hAnsi="Times New Roman" w:cs="Times New Roman"/>
                <w:sz w:val="24"/>
                <w:szCs w:val="24"/>
                <w:vertAlign w:val="subscript"/>
              </w:rPr>
              <w:t>i</w:t>
            </w:r>
            <w:r>
              <w:rPr>
                <w:rFonts w:ascii="Times New Roman" w:hAnsi="Times New Roman" w:cs="Times New Roman"/>
                <w:sz w:val="24"/>
                <w:szCs w:val="24"/>
              </w:rPr>
              <w:t>—i声源在T时段内的运行时间，s。</w:t>
            </w:r>
          </w:p>
          <w:p>
            <w:pPr>
              <w:pStyle w:val="6"/>
              <w:snapToGrid w:val="0"/>
              <w:spacing w:line="360" w:lineRule="auto"/>
              <w:ind w:firstLine="480" w:firstLineChars="200"/>
              <w:rPr>
                <w:rFonts w:ascii="Times New Roman" w:hAnsi="Times New Roman" w:cs="Times New Roman"/>
                <w:sz w:val="24"/>
                <w:szCs w:val="24"/>
              </w:rPr>
            </w:pPr>
            <w:r>
              <w:rPr>
                <w:rFonts w:hint="eastAsia" w:hAnsi="宋体" w:cs="宋体"/>
                <w:sz w:val="24"/>
                <w:szCs w:val="24"/>
              </w:rPr>
              <w:t>②</w:t>
            </w:r>
            <w:r>
              <w:rPr>
                <w:rFonts w:ascii="Times New Roman" w:hAnsi="Times New Roman" w:cs="Times New Roman"/>
                <w:sz w:val="24"/>
                <w:szCs w:val="24"/>
              </w:rPr>
              <w:t>预测点的预测等效声级(Leq)计算公式</w:t>
            </w:r>
          </w:p>
          <w:p>
            <w:pPr>
              <w:pStyle w:val="6"/>
              <w:snapToGrid w:val="0"/>
              <w:spacing w:line="360" w:lineRule="auto"/>
              <w:ind w:left="480"/>
              <w:rPr>
                <w:rFonts w:ascii="Times New Roman" w:hAnsi="Times New Roman" w:cs="Times New Roman"/>
                <w:sz w:val="24"/>
                <w:szCs w:val="24"/>
              </w:rPr>
            </w:pPr>
            <m:oMathPara>
              <m:oMathParaPr>
                <m:jc m:val="left"/>
              </m:oMathParaPr>
              <m:oMath>
                <m:sSub>
                  <m:sSubPr>
                    <m:ctrlPr>
                      <w:rPr>
                        <w:rFonts w:ascii="Cambria Math" w:hAnsi="Cambria Math" w:cs="Times New Roman"/>
                        <w:sz w:val="24"/>
                      </w:rPr>
                    </m:ctrlPr>
                  </m:sSubPr>
                  <m:e>
                    <m:r>
                      <m:rPr/>
                      <w:rPr>
                        <w:rFonts w:ascii="Cambria Math" w:hAnsi="Cambria Math" w:cs="Times New Roman"/>
                        <w:sz w:val="24"/>
                      </w:rPr>
                      <m:t>L</m:t>
                    </m:r>
                    <m:ctrlPr>
                      <w:rPr>
                        <w:rFonts w:ascii="Cambria Math" w:hAnsi="Cambria Math" w:cs="Times New Roman"/>
                        <w:sz w:val="24"/>
                      </w:rPr>
                    </m:ctrlPr>
                  </m:e>
                  <m:sub>
                    <m:r>
                      <m:rPr/>
                      <w:rPr>
                        <w:rFonts w:ascii="Cambria Math" w:hAnsi="Cambria Math" w:cs="Times New Roman"/>
                        <w:sz w:val="24"/>
                      </w:rPr>
                      <m:t>eq</m:t>
                    </m:r>
                    <m:ctrlPr>
                      <w:rPr>
                        <w:rFonts w:ascii="Cambria Math" w:hAnsi="Cambria Math" w:cs="Times New Roman"/>
                        <w:sz w:val="24"/>
                      </w:rPr>
                    </m:ctrlPr>
                  </m:sub>
                </m:sSub>
                <m:r>
                  <m:rPr/>
                  <w:rPr>
                    <w:rFonts w:ascii="Cambria Math" w:hAnsi="Cambria Math" w:cs="Times New Roman"/>
                    <w:sz w:val="24"/>
                  </w:rPr>
                  <m:t>=10</m:t>
                </m:r>
                <m:r>
                  <m:rPr>
                    <m:sty m:val="p"/>
                  </m:rPr>
                  <w:rPr>
                    <w:rFonts w:ascii="Cambria Math" w:hAnsi="Cambria Math" w:cs="Times New Roman"/>
                    <w:sz w:val="24"/>
                  </w:rPr>
                  <m:t>lg⁡</m:t>
                </m:r>
                <m:d>
                  <m:dPr>
                    <m:ctrlPr>
                      <w:rPr>
                        <w:rFonts w:ascii="Cambria Math" w:hAnsi="Cambria Math" w:cs="Times New Roman"/>
                        <w:sz w:val="24"/>
                      </w:rPr>
                    </m:ctrlPr>
                  </m:dPr>
                  <m:e>
                    <m:sSup>
                      <m:sSupPr>
                        <m:ctrlPr>
                          <w:rPr>
                            <w:rFonts w:ascii="Cambria Math" w:hAnsi="Cambria Math" w:cs="Times New Roman"/>
                            <w:i/>
                            <w:sz w:val="24"/>
                          </w:rPr>
                        </m:ctrlPr>
                      </m:sSupPr>
                      <m:e>
                        <m:r>
                          <m:rPr/>
                          <w:rPr>
                            <w:rFonts w:ascii="Cambria Math" w:hAnsi="Cambria Math" w:cs="Times New Roman"/>
                            <w:sz w:val="24"/>
                          </w:rPr>
                          <m:t>10</m:t>
                        </m:r>
                        <m:ctrlPr>
                          <w:rPr>
                            <w:rFonts w:ascii="Cambria Math" w:hAnsi="Cambria Math" w:cs="Times New Roman"/>
                            <w:i/>
                            <w:sz w:val="24"/>
                          </w:rPr>
                        </m:ctrlPr>
                      </m:e>
                      <m:sup>
                        <m:r>
                          <m:rPr/>
                          <w:rPr>
                            <w:rFonts w:ascii="Cambria Math" w:hAnsi="Cambria Math" w:cs="Times New Roman"/>
                            <w:sz w:val="24"/>
                          </w:rPr>
                          <m:t>0.1eqg</m:t>
                        </m:r>
                        <m:ctrlPr>
                          <w:rPr>
                            <w:rFonts w:ascii="Cambria Math" w:hAnsi="Cambria Math" w:cs="Times New Roman"/>
                            <w:i/>
                            <w:sz w:val="24"/>
                          </w:rPr>
                        </m:ctrlPr>
                      </m:sup>
                    </m:sSup>
                    <m:r>
                      <m:rPr/>
                      <w:rPr>
                        <w:rFonts w:ascii="Cambria Math" w:hAnsi="Cambria Math" w:cs="Times New Roman"/>
                        <w:sz w:val="24"/>
                      </w:rPr>
                      <m:t>+</m:t>
                    </m:r>
                    <m:sSup>
                      <m:sSupPr>
                        <m:ctrlPr>
                          <w:rPr>
                            <w:rFonts w:ascii="Cambria Math" w:hAnsi="Cambria Math" w:cs="Times New Roman"/>
                            <w:i/>
                            <w:sz w:val="24"/>
                          </w:rPr>
                        </m:ctrlPr>
                      </m:sSupPr>
                      <m:e>
                        <m:r>
                          <m:rPr/>
                          <w:rPr>
                            <w:rFonts w:ascii="Cambria Math" w:hAnsi="Cambria Math" w:cs="Times New Roman"/>
                            <w:sz w:val="24"/>
                          </w:rPr>
                          <m:t>10</m:t>
                        </m:r>
                        <m:ctrlPr>
                          <w:rPr>
                            <w:rFonts w:ascii="Cambria Math" w:hAnsi="Cambria Math" w:cs="Times New Roman"/>
                            <w:i/>
                            <w:sz w:val="24"/>
                          </w:rPr>
                        </m:ctrlPr>
                      </m:e>
                      <m:sup>
                        <m:r>
                          <m:rPr/>
                          <w:rPr>
                            <w:rFonts w:ascii="Cambria Math" w:hAnsi="Cambria Math" w:cs="Times New Roman"/>
                            <w:sz w:val="24"/>
                          </w:rPr>
                          <m:t>0.1eqb</m:t>
                        </m:r>
                        <m:ctrlPr>
                          <w:rPr>
                            <w:rFonts w:ascii="Cambria Math" w:hAnsi="Cambria Math" w:cs="Times New Roman"/>
                            <w:i/>
                            <w:sz w:val="24"/>
                          </w:rPr>
                        </m:ctrlPr>
                      </m:sup>
                    </m:sSup>
                    <m:ctrlPr>
                      <w:rPr>
                        <w:rFonts w:ascii="Cambria Math" w:hAnsi="Cambria Math" w:cs="Times New Roman"/>
                        <w:sz w:val="24"/>
                      </w:rPr>
                    </m:ctrlPr>
                  </m:e>
                </m:d>
              </m:oMath>
            </m:oMathPara>
          </w:p>
          <w:p>
            <w:pPr>
              <w:pStyle w:val="6"/>
              <w:snapToGrid w:val="0"/>
              <w:spacing w:line="360" w:lineRule="auto"/>
              <w:ind w:firstLine="480"/>
              <w:rPr>
                <w:rFonts w:ascii="Times New Roman" w:hAnsi="Times New Roman" w:cs="Times New Roman"/>
                <w:sz w:val="24"/>
                <w:szCs w:val="24"/>
              </w:rPr>
            </w:pPr>
            <w:r>
              <w:rPr>
                <w:rFonts w:ascii="Times New Roman" w:hAnsi="Times New Roman" w:cs="Times New Roman"/>
                <w:sz w:val="24"/>
                <w:szCs w:val="24"/>
              </w:rPr>
              <w:t>式中：L</w:t>
            </w:r>
            <w:r>
              <w:rPr>
                <w:rFonts w:ascii="Times New Roman" w:hAnsi="Times New Roman" w:cs="Times New Roman"/>
                <w:sz w:val="24"/>
                <w:szCs w:val="24"/>
                <w:vertAlign w:val="subscript"/>
              </w:rPr>
              <w:t>eqg</w:t>
            </w:r>
            <w:r>
              <w:rPr>
                <w:rFonts w:ascii="Times New Roman" w:hAnsi="Times New Roman" w:cs="Times New Roman"/>
                <w:sz w:val="24"/>
                <w:szCs w:val="24"/>
              </w:rPr>
              <w:t>—建设项目声源在预测点的等效声级贡献值，dB(A)；</w:t>
            </w:r>
          </w:p>
          <w:p>
            <w:pPr>
              <w:pStyle w:val="6"/>
              <w:snapToGrid w:val="0"/>
              <w:spacing w:line="360" w:lineRule="auto"/>
              <w:ind w:firstLine="1157"/>
              <w:rPr>
                <w:rFonts w:ascii="Times New Roman" w:hAnsi="Times New Roman" w:cs="Times New Roman"/>
                <w:sz w:val="24"/>
                <w:szCs w:val="24"/>
              </w:rPr>
            </w:pPr>
            <w:r>
              <w:rPr>
                <w:rFonts w:ascii="Times New Roman" w:hAnsi="Times New Roman" w:cs="Times New Roman"/>
                <w:sz w:val="24"/>
                <w:szCs w:val="24"/>
              </w:rPr>
              <w:t>L</w:t>
            </w:r>
            <w:r>
              <w:rPr>
                <w:rFonts w:ascii="Times New Roman" w:hAnsi="Times New Roman" w:cs="Times New Roman"/>
                <w:sz w:val="24"/>
                <w:szCs w:val="24"/>
                <w:vertAlign w:val="subscript"/>
              </w:rPr>
              <w:t>eqb</w:t>
            </w:r>
            <w:r>
              <w:rPr>
                <w:rFonts w:ascii="Times New Roman" w:hAnsi="Times New Roman" w:cs="Times New Roman"/>
                <w:sz w:val="24"/>
                <w:szCs w:val="24"/>
              </w:rPr>
              <w:t>—预测点的背景值，dB(A)。</w:t>
            </w:r>
          </w:p>
          <w:p>
            <w:pPr>
              <w:pStyle w:val="6"/>
              <w:snapToGrid w:val="0"/>
              <w:spacing w:line="360" w:lineRule="auto"/>
              <w:ind w:firstLine="480" w:firstLineChars="200"/>
              <w:rPr>
                <w:rFonts w:ascii="Times New Roman" w:hAnsi="Times New Roman" w:cs="Times New Roman"/>
                <w:sz w:val="24"/>
                <w:szCs w:val="24"/>
              </w:rPr>
            </w:pPr>
            <w:r>
              <w:rPr>
                <w:rFonts w:hint="eastAsia" w:hAnsi="宋体" w:cs="宋体"/>
                <w:sz w:val="24"/>
                <w:szCs w:val="24"/>
              </w:rPr>
              <w:t>③</w:t>
            </w:r>
            <w:r>
              <w:rPr>
                <w:rFonts w:ascii="Times New Roman" w:hAnsi="Times New Roman" w:cs="Times New Roman"/>
                <w:sz w:val="24"/>
                <w:szCs w:val="24"/>
              </w:rPr>
              <w:t>户外声传播衰减计算</w:t>
            </w:r>
          </w:p>
          <w:p>
            <w:pPr>
              <w:pStyle w:val="6"/>
              <w:snapToGrid w:val="0"/>
              <w:spacing w:line="360" w:lineRule="auto"/>
              <w:ind w:firstLine="480"/>
              <w:rPr>
                <w:rFonts w:ascii="Times New Roman" w:hAnsi="Times New Roman" w:cs="Times New Roman"/>
                <w:sz w:val="24"/>
                <w:szCs w:val="24"/>
              </w:rPr>
            </w:pPr>
            <w:r>
              <w:rPr>
                <w:rFonts w:ascii="Times New Roman" w:hAnsi="Times New Roman" w:cs="Times New Roman"/>
                <w:sz w:val="24"/>
                <w:szCs w:val="24"/>
              </w:rPr>
              <w:t>户外声传播衰减包括几何发散（A</w:t>
            </w:r>
            <w:r>
              <w:rPr>
                <w:rFonts w:ascii="Times New Roman" w:hAnsi="Times New Roman" w:cs="Times New Roman"/>
                <w:sz w:val="24"/>
                <w:szCs w:val="24"/>
                <w:vertAlign w:val="subscript"/>
              </w:rPr>
              <w:t>div</w:t>
            </w:r>
            <w:r>
              <w:rPr>
                <w:rFonts w:ascii="Times New Roman" w:hAnsi="Times New Roman" w:cs="Times New Roman"/>
                <w:sz w:val="24"/>
                <w:szCs w:val="24"/>
              </w:rPr>
              <w:t>）、大气吸收（A</w:t>
            </w:r>
            <w:r>
              <w:rPr>
                <w:rFonts w:ascii="Times New Roman" w:hAnsi="Times New Roman" w:cs="Times New Roman"/>
                <w:sz w:val="24"/>
                <w:szCs w:val="24"/>
                <w:vertAlign w:val="subscript"/>
              </w:rPr>
              <w:t>atm</w:t>
            </w:r>
            <w:r>
              <w:rPr>
                <w:rFonts w:ascii="Times New Roman" w:hAnsi="Times New Roman" w:cs="Times New Roman"/>
                <w:sz w:val="24"/>
                <w:szCs w:val="24"/>
              </w:rPr>
              <w:t>）、地面效应（A</w:t>
            </w:r>
            <w:r>
              <w:rPr>
                <w:rFonts w:ascii="Times New Roman" w:hAnsi="Times New Roman" w:cs="Times New Roman"/>
                <w:sz w:val="24"/>
                <w:szCs w:val="24"/>
                <w:vertAlign w:val="subscript"/>
              </w:rPr>
              <w:t>gr</w:t>
            </w:r>
            <w:r>
              <w:rPr>
                <w:rFonts w:ascii="Times New Roman" w:hAnsi="Times New Roman" w:cs="Times New Roman"/>
                <w:sz w:val="24"/>
                <w:szCs w:val="24"/>
              </w:rPr>
              <w:t>）、屏障屏蔽（A</w:t>
            </w:r>
            <w:r>
              <w:rPr>
                <w:rFonts w:ascii="Times New Roman" w:hAnsi="Times New Roman" w:cs="Times New Roman"/>
                <w:sz w:val="24"/>
                <w:szCs w:val="24"/>
                <w:vertAlign w:val="subscript"/>
              </w:rPr>
              <w:t>bar</w:t>
            </w:r>
            <w:r>
              <w:rPr>
                <w:rFonts w:ascii="Times New Roman" w:hAnsi="Times New Roman" w:cs="Times New Roman"/>
                <w:sz w:val="24"/>
                <w:szCs w:val="24"/>
              </w:rPr>
              <w:t>）、其他多方面效应（A</w:t>
            </w:r>
            <w:r>
              <w:rPr>
                <w:rFonts w:ascii="Times New Roman" w:hAnsi="Times New Roman" w:cs="Times New Roman"/>
                <w:sz w:val="24"/>
                <w:szCs w:val="24"/>
                <w:vertAlign w:val="subscript"/>
              </w:rPr>
              <w:t>misc</w:t>
            </w:r>
            <w:r>
              <w:rPr>
                <w:rFonts w:ascii="Times New Roman" w:hAnsi="Times New Roman" w:cs="Times New Roman"/>
                <w:sz w:val="24"/>
                <w:szCs w:val="24"/>
              </w:rPr>
              <w:t>）引起的衰减。</w:t>
            </w:r>
          </w:p>
          <w:p>
            <w:pPr>
              <w:pStyle w:val="6"/>
              <w:snapToGrid w:val="0"/>
              <w:spacing w:line="360" w:lineRule="auto"/>
              <w:ind w:firstLine="480"/>
              <w:rPr>
                <w:rFonts w:ascii="Times New Roman" w:hAnsi="Times New Roman" w:cs="Times New Roman"/>
                <w:sz w:val="24"/>
                <w:szCs w:val="24"/>
              </w:rPr>
            </w:pPr>
            <w:r>
              <w:rPr>
                <w:rFonts w:ascii="Times New Roman" w:hAnsi="Times New Roman" w:cs="Times New Roman"/>
                <w:sz w:val="24"/>
                <w:szCs w:val="24"/>
              </w:rPr>
              <w:t>距声源点r处的A声级按下式计算：</w:t>
            </w:r>
          </w:p>
          <w:p>
            <w:pPr>
              <w:pStyle w:val="6"/>
              <w:snapToGrid w:val="0"/>
              <w:spacing w:line="360" w:lineRule="auto"/>
              <w:ind w:left="447" w:leftChars="213" w:firstLine="32"/>
              <w:rPr>
                <w:rFonts w:ascii="Times New Roman" w:hAnsi="Times New Roman" w:cs="Times New Roman"/>
                <w:sz w:val="24"/>
                <w:szCs w:val="24"/>
              </w:rPr>
            </w:pPr>
            <m:oMathPara>
              <m:oMathParaPr>
                <m:jc m:val="left"/>
              </m:oMathParaPr>
              <m:oMath>
                <m:sSub>
                  <m:sSubPr>
                    <m:ctrlPr>
                      <w:rPr>
                        <w:rFonts w:ascii="Cambria Math" w:hAnsi="Cambria Math" w:cs="Times New Roman"/>
                        <w:sz w:val="24"/>
                      </w:rPr>
                    </m:ctrlPr>
                  </m:sSubPr>
                  <m:e>
                    <m:r>
                      <m:rPr/>
                      <w:rPr>
                        <w:rFonts w:ascii="Cambria Math" w:hAnsi="Cambria Math" w:cs="Times New Roman"/>
                        <w:sz w:val="24"/>
                      </w:rPr>
                      <m:t>L</m:t>
                    </m:r>
                    <m:ctrlPr>
                      <w:rPr>
                        <w:rFonts w:ascii="Cambria Math" w:hAnsi="Cambria Math" w:cs="Times New Roman"/>
                        <w:sz w:val="24"/>
                      </w:rPr>
                    </m:ctrlPr>
                  </m:e>
                  <m:sub>
                    <m:r>
                      <m:rPr/>
                      <w:rPr>
                        <w:rFonts w:ascii="Cambria Math" w:hAnsi="Cambria Math" w:cs="Times New Roman"/>
                        <w:sz w:val="24"/>
                      </w:rPr>
                      <m:t>P</m:t>
                    </m:r>
                    <m:ctrlPr>
                      <w:rPr>
                        <w:rFonts w:ascii="Cambria Math" w:hAnsi="Cambria Math" w:cs="Times New Roman"/>
                        <w:sz w:val="24"/>
                      </w:rPr>
                    </m:ctrlPr>
                  </m:sub>
                </m:sSub>
                <m:d>
                  <m:dPr>
                    <m:ctrlPr>
                      <w:rPr>
                        <w:rFonts w:ascii="Cambria Math" w:hAnsi="Cambria Math" w:cs="Times New Roman"/>
                        <w:i/>
                        <w:sz w:val="24"/>
                      </w:rPr>
                    </m:ctrlPr>
                  </m:dPr>
                  <m:e>
                    <m:r>
                      <m:rPr/>
                      <w:rPr>
                        <w:rFonts w:ascii="Cambria Math" w:hAnsi="Cambria Math" w:cs="Times New Roman"/>
                        <w:sz w:val="24"/>
                      </w:rPr>
                      <m:t>r</m:t>
                    </m:r>
                    <m:ctrlPr>
                      <w:rPr>
                        <w:rFonts w:ascii="Cambria Math" w:hAnsi="Cambria Math" w:cs="Times New Roman"/>
                        <w:i/>
                        <w:sz w:val="24"/>
                      </w:rPr>
                    </m:ctrlPr>
                  </m:e>
                </m:d>
                <m:r>
                  <m:rPr/>
                  <w:rPr>
                    <w:rFonts w:ascii="Cambria Math" w:hAnsi="Cambria Math" w:cs="Times New Roman"/>
                    <w:sz w:val="24"/>
                  </w:rPr>
                  <m:t>=</m:t>
                </m:r>
                <m:sSub>
                  <m:sSubPr>
                    <m:ctrlPr>
                      <w:rPr>
                        <w:rFonts w:ascii="Cambria Math" w:hAnsi="Cambria Math" w:cs="Times New Roman"/>
                        <w:sz w:val="24"/>
                      </w:rPr>
                    </m:ctrlPr>
                  </m:sSubPr>
                  <m:e>
                    <m:r>
                      <m:rPr/>
                      <w:rPr>
                        <w:rFonts w:ascii="Cambria Math" w:hAnsi="Cambria Math" w:cs="Times New Roman"/>
                        <w:sz w:val="24"/>
                      </w:rPr>
                      <m:t>L</m:t>
                    </m:r>
                    <m:ctrlPr>
                      <w:rPr>
                        <w:rFonts w:ascii="Cambria Math" w:hAnsi="Cambria Math" w:cs="Times New Roman"/>
                        <w:sz w:val="24"/>
                      </w:rPr>
                    </m:ctrlPr>
                  </m:e>
                  <m:sub>
                    <m:r>
                      <m:rPr/>
                      <w:rPr>
                        <w:rFonts w:ascii="Cambria Math" w:hAnsi="Cambria Math" w:cs="Times New Roman"/>
                        <w:sz w:val="24"/>
                      </w:rPr>
                      <m:t>P</m:t>
                    </m:r>
                    <m:ctrlPr>
                      <w:rPr>
                        <w:rFonts w:ascii="Cambria Math" w:hAnsi="Cambria Math" w:cs="Times New Roman"/>
                        <w:sz w:val="24"/>
                      </w:rPr>
                    </m:ctrlPr>
                  </m:sub>
                </m:sSub>
                <m:d>
                  <m:dPr>
                    <m:ctrlPr>
                      <w:rPr>
                        <w:rFonts w:ascii="Cambria Math" w:hAnsi="Cambria Math" w:cs="Times New Roman"/>
                        <w:i/>
                        <w:sz w:val="24"/>
                      </w:rPr>
                    </m:ctrlPr>
                  </m:dPr>
                  <m:e>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0</m:t>
                        </m:r>
                        <m:ctrlPr>
                          <w:rPr>
                            <w:rFonts w:ascii="Cambria Math" w:hAnsi="Cambria Math" w:cs="Times New Roman"/>
                            <w:i/>
                            <w:sz w:val="24"/>
                          </w:rPr>
                        </m:ctrlPr>
                      </m:sub>
                    </m:sSub>
                    <m:ctrlPr>
                      <w:rPr>
                        <w:rFonts w:ascii="Cambria Math" w:hAnsi="Cambria Math" w:cs="Times New Roman"/>
                        <w:i/>
                        <w:sz w:val="24"/>
                      </w:rPr>
                    </m:ctrlPr>
                  </m:e>
                </m:d>
                <m:r>
                  <m:rPr/>
                  <w:rPr>
                    <w:rFonts w:ascii="Cambria Math" w:hAnsi="Cambria Math" w:eastAsia="MS Gothic" w:cs="Times New Roman"/>
                    <w:sz w:val="24"/>
                  </w:rPr>
                  <m:t>−</m:t>
                </m:r>
                <m:d>
                  <m:dPr>
                    <m:ctrlPr>
                      <w:rPr>
                        <w:rFonts w:ascii="Cambria Math" w:hAnsi="Cambria Math" w:cs="Times New Roman"/>
                        <w:i/>
                        <w:sz w:val="24"/>
                      </w:rPr>
                    </m:ctrlPr>
                  </m:dPr>
                  <m:e>
                    <m:sSub>
                      <m:sSubPr>
                        <m:ctrlPr>
                          <w:rPr>
                            <w:rFonts w:ascii="Cambria Math" w:hAnsi="Cambria Math" w:cs="Times New Roman"/>
                            <w:i/>
                            <w:sz w:val="24"/>
                          </w:rPr>
                        </m:ctrlPr>
                      </m:sSubPr>
                      <m:e>
                        <m:r>
                          <m:rPr/>
                          <w:rPr>
                            <w:rFonts w:ascii="Cambria Math" w:hAnsi="Cambria Math" w:cs="Times New Roman"/>
                            <w:sz w:val="24"/>
                          </w:rPr>
                          <m:t>A</m:t>
                        </m:r>
                        <m:ctrlPr>
                          <w:rPr>
                            <w:rFonts w:ascii="Cambria Math" w:hAnsi="Cambria Math" w:cs="Times New Roman"/>
                            <w:i/>
                            <w:sz w:val="24"/>
                          </w:rPr>
                        </m:ctrlPr>
                      </m:e>
                      <m:sub>
                        <m:r>
                          <m:rPr/>
                          <w:rPr>
                            <w:rFonts w:ascii="Cambria Math" w:hAnsi="Cambria Math" w:cs="Times New Roman"/>
                            <w:sz w:val="24"/>
                          </w:rPr>
                          <m:t>div</m:t>
                        </m:r>
                        <m:ctrlPr>
                          <w:rPr>
                            <w:rFonts w:ascii="Cambria Math" w:hAnsi="Cambria Math" w:cs="Times New Roman"/>
                            <w:i/>
                            <w:sz w:val="24"/>
                          </w:rPr>
                        </m:ctrlPr>
                      </m:sub>
                    </m:sSub>
                    <m:r>
                      <m:rPr/>
                      <w:rPr>
                        <w:rFonts w:ascii="Cambria Math" w:hAnsi="Cambria Math" w:cs="Times New Roman"/>
                        <w:sz w:val="24"/>
                      </w:rPr>
                      <m:t>+</m:t>
                    </m:r>
                    <m:sSub>
                      <m:sSubPr>
                        <m:ctrlPr>
                          <w:rPr>
                            <w:rFonts w:ascii="Cambria Math" w:hAnsi="Cambria Math" w:cs="Times New Roman"/>
                            <w:i/>
                            <w:sz w:val="24"/>
                          </w:rPr>
                        </m:ctrlPr>
                      </m:sSubPr>
                      <m:e>
                        <m:r>
                          <m:rPr/>
                          <w:rPr>
                            <w:rFonts w:ascii="Cambria Math" w:hAnsi="Cambria Math" w:cs="Times New Roman"/>
                            <w:sz w:val="24"/>
                          </w:rPr>
                          <m:t>A</m:t>
                        </m:r>
                        <m:ctrlPr>
                          <w:rPr>
                            <w:rFonts w:ascii="Cambria Math" w:hAnsi="Cambria Math" w:cs="Times New Roman"/>
                            <w:i/>
                            <w:sz w:val="24"/>
                          </w:rPr>
                        </m:ctrlPr>
                      </m:e>
                      <m:sub>
                        <m:r>
                          <m:rPr/>
                          <w:rPr>
                            <w:rFonts w:ascii="Cambria Math" w:hAnsi="Cambria Math" w:cs="Times New Roman"/>
                            <w:sz w:val="24"/>
                          </w:rPr>
                          <m:t>atm</m:t>
                        </m:r>
                        <m:ctrlPr>
                          <w:rPr>
                            <w:rFonts w:ascii="Cambria Math" w:hAnsi="Cambria Math" w:cs="Times New Roman"/>
                            <w:i/>
                            <w:sz w:val="24"/>
                          </w:rPr>
                        </m:ctrlPr>
                      </m:sub>
                    </m:sSub>
                    <m:r>
                      <m:rPr/>
                      <w:rPr>
                        <w:rFonts w:ascii="Cambria Math" w:hAnsi="Cambria Math" w:cs="Times New Roman"/>
                        <w:sz w:val="24"/>
                      </w:rPr>
                      <m:t>+</m:t>
                    </m:r>
                    <m:sSub>
                      <m:sSubPr>
                        <m:ctrlPr>
                          <w:rPr>
                            <w:rFonts w:ascii="Cambria Math" w:hAnsi="Cambria Math" w:cs="Times New Roman"/>
                            <w:i/>
                            <w:sz w:val="24"/>
                          </w:rPr>
                        </m:ctrlPr>
                      </m:sSubPr>
                      <m:e>
                        <m:r>
                          <m:rPr/>
                          <w:rPr>
                            <w:rFonts w:ascii="Cambria Math" w:hAnsi="Cambria Math" w:cs="Times New Roman"/>
                            <w:sz w:val="24"/>
                          </w:rPr>
                          <m:t>A</m:t>
                        </m:r>
                        <m:ctrlPr>
                          <w:rPr>
                            <w:rFonts w:ascii="Cambria Math" w:hAnsi="Cambria Math" w:cs="Times New Roman"/>
                            <w:i/>
                            <w:sz w:val="24"/>
                          </w:rPr>
                        </m:ctrlPr>
                      </m:e>
                      <m:sub>
                        <m:r>
                          <m:rPr/>
                          <w:rPr>
                            <w:rFonts w:ascii="Cambria Math" w:hAnsi="Cambria Math" w:cs="Times New Roman"/>
                            <w:sz w:val="24"/>
                          </w:rPr>
                          <m:t>bar</m:t>
                        </m:r>
                        <m:ctrlPr>
                          <w:rPr>
                            <w:rFonts w:ascii="Cambria Math" w:hAnsi="Cambria Math" w:cs="Times New Roman"/>
                            <w:i/>
                            <w:sz w:val="24"/>
                          </w:rPr>
                        </m:ctrlPr>
                      </m:sub>
                    </m:sSub>
                    <m:r>
                      <m:rPr/>
                      <w:rPr>
                        <w:rFonts w:ascii="Cambria Math" w:hAnsi="Cambria Math" w:cs="Times New Roman"/>
                        <w:sz w:val="24"/>
                      </w:rPr>
                      <m:t>+</m:t>
                    </m:r>
                    <m:sSub>
                      <m:sSubPr>
                        <m:ctrlPr>
                          <w:rPr>
                            <w:rFonts w:ascii="Cambria Math" w:hAnsi="Cambria Math" w:cs="Times New Roman"/>
                            <w:i/>
                            <w:sz w:val="24"/>
                          </w:rPr>
                        </m:ctrlPr>
                      </m:sSubPr>
                      <m:e>
                        <m:r>
                          <m:rPr/>
                          <w:rPr>
                            <w:rFonts w:ascii="Cambria Math" w:hAnsi="Cambria Math" w:cs="Times New Roman"/>
                            <w:sz w:val="24"/>
                          </w:rPr>
                          <m:t>A</m:t>
                        </m:r>
                        <m:ctrlPr>
                          <w:rPr>
                            <w:rFonts w:ascii="Cambria Math" w:hAnsi="Cambria Math" w:cs="Times New Roman"/>
                            <w:i/>
                            <w:sz w:val="24"/>
                          </w:rPr>
                        </m:ctrlPr>
                      </m:e>
                      <m:sub>
                        <m:r>
                          <m:rPr/>
                          <w:rPr>
                            <w:rFonts w:ascii="Cambria Math" w:hAnsi="Cambria Math" w:cs="Times New Roman"/>
                            <w:sz w:val="24"/>
                          </w:rPr>
                          <m:t>gr</m:t>
                        </m:r>
                        <m:ctrlPr>
                          <w:rPr>
                            <w:rFonts w:ascii="Cambria Math" w:hAnsi="Cambria Math" w:cs="Times New Roman"/>
                            <w:i/>
                            <w:sz w:val="24"/>
                          </w:rPr>
                        </m:ctrlPr>
                      </m:sub>
                    </m:sSub>
                    <m:r>
                      <m:rPr/>
                      <w:rPr>
                        <w:rFonts w:ascii="Cambria Math" w:hAnsi="Cambria Math" w:cs="Times New Roman"/>
                        <w:sz w:val="24"/>
                      </w:rPr>
                      <m:t>+</m:t>
                    </m:r>
                    <m:sSub>
                      <m:sSubPr>
                        <m:ctrlPr>
                          <w:rPr>
                            <w:rFonts w:ascii="Cambria Math" w:hAnsi="Cambria Math" w:cs="Times New Roman"/>
                            <w:i/>
                            <w:sz w:val="24"/>
                          </w:rPr>
                        </m:ctrlPr>
                      </m:sSubPr>
                      <m:e>
                        <m:r>
                          <m:rPr/>
                          <w:rPr>
                            <w:rFonts w:ascii="Cambria Math" w:hAnsi="Cambria Math" w:cs="Times New Roman"/>
                            <w:sz w:val="24"/>
                          </w:rPr>
                          <m:t>A</m:t>
                        </m:r>
                        <m:ctrlPr>
                          <w:rPr>
                            <w:rFonts w:ascii="Cambria Math" w:hAnsi="Cambria Math" w:cs="Times New Roman"/>
                            <w:i/>
                            <w:sz w:val="24"/>
                          </w:rPr>
                        </m:ctrlPr>
                      </m:e>
                      <m:sub>
                        <m:r>
                          <m:rPr/>
                          <w:rPr>
                            <w:rFonts w:ascii="Cambria Math" w:hAnsi="Cambria Math" w:cs="Times New Roman"/>
                            <w:sz w:val="24"/>
                          </w:rPr>
                          <m:t>misc</m:t>
                        </m:r>
                        <m:ctrlPr>
                          <w:rPr>
                            <w:rFonts w:ascii="Cambria Math" w:hAnsi="Cambria Math" w:cs="Times New Roman"/>
                            <w:i/>
                            <w:sz w:val="24"/>
                          </w:rPr>
                        </m:ctrlPr>
                      </m:sub>
                    </m:sSub>
                    <m:ctrlPr>
                      <w:rPr>
                        <w:rFonts w:ascii="Cambria Math" w:hAnsi="Cambria Math" w:cs="Times New Roman"/>
                        <w:i/>
                        <w:sz w:val="24"/>
                      </w:rPr>
                    </m:ctrlPr>
                  </m:e>
                </m:d>
              </m:oMath>
            </m:oMathPara>
          </w:p>
          <w:p>
            <w:pPr>
              <w:pStyle w:val="6"/>
              <w:snapToGrid w:val="0"/>
              <w:spacing w:line="360" w:lineRule="auto"/>
              <w:ind w:firstLine="480"/>
              <w:rPr>
                <w:rFonts w:ascii="Times New Roman" w:hAnsi="Times New Roman" w:cs="Times New Roman"/>
                <w:sz w:val="24"/>
                <w:szCs w:val="24"/>
              </w:rPr>
            </w:pPr>
            <w:r>
              <w:rPr>
                <w:rFonts w:ascii="Times New Roman" w:hAnsi="Times New Roman" w:cs="Times New Roman"/>
                <w:sz w:val="24"/>
                <w:szCs w:val="24"/>
              </w:rPr>
              <w:t>在预测中考虑反射引起的修正、屏障引起的衰减、双绕射、室内声源等效室外声源等影响和计算方法。</w:t>
            </w:r>
          </w:p>
          <w:p>
            <w:pPr>
              <w:spacing w:line="360" w:lineRule="auto"/>
              <w:ind w:firstLine="566" w:firstLineChars="236"/>
              <w:jc w:val="left"/>
              <w:rPr>
                <w:sz w:val="24"/>
              </w:rPr>
            </w:pPr>
            <w:r>
              <w:rPr>
                <w:sz w:val="24"/>
              </w:rPr>
              <w:t>（2）预测结果</w:t>
            </w:r>
          </w:p>
          <w:p>
            <w:pPr>
              <w:spacing w:line="360" w:lineRule="auto"/>
              <w:ind w:firstLine="566" w:firstLineChars="236"/>
              <w:jc w:val="left"/>
              <w:rPr>
                <w:sz w:val="24"/>
              </w:rPr>
            </w:pPr>
            <w:r>
              <w:rPr>
                <w:sz w:val="24"/>
              </w:rPr>
              <w:t>项目于2015年停产至今，未进行任何生产活动，故本次厂界噪声预测将现有工程和扩建工程采用贡献值进行达标评价，</w:t>
            </w:r>
            <w:r>
              <w:rPr>
                <w:bCs/>
                <w:sz w:val="24"/>
              </w:rPr>
              <w:t>噪声预测结果见表</w:t>
            </w:r>
            <w:r>
              <w:rPr>
                <w:rFonts w:hint="eastAsia"/>
                <w:bCs/>
                <w:sz w:val="24"/>
              </w:rPr>
              <w:t>36</w:t>
            </w:r>
            <w:r>
              <w:rPr>
                <w:bCs/>
                <w:sz w:val="24"/>
              </w:rPr>
              <w:t>。</w:t>
            </w:r>
          </w:p>
          <w:p>
            <w:pPr>
              <w:spacing w:line="360" w:lineRule="auto"/>
              <w:ind w:firstLine="566" w:firstLineChars="236"/>
              <w:jc w:val="left"/>
              <w:rPr>
                <w:sz w:val="24"/>
              </w:rPr>
            </w:pPr>
            <w:r>
              <w:rPr>
                <w:sz w:val="24"/>
              </w:rPr>
              <w:t>根据噪声预测结果，项目运行后，厂界噪声贡献值能够达到《工业企业厂界环境噪声排放标准》（GB12348-2008）2类标准要求。</w:t>
            </w:r>
          </w:p>
          <w:p>
            <w:pPr>
              <w:spacing w:line="360" w:lineRule="auto"/>
              <w:jc w:val="center"/>
              <w:rPr>
                <w:b/>
                <w:bCs/>
                <w:szCs w:val="21"/>
              </w:rPr>
            </w:pPr>
            <w:r>
              <w:rPr>
                <w:b/>
                <w:bCs/>
                <w:szCs w:val="21"/>
              </w:rPr>
              <w:t>表</w:t>
            </w:r>
            <w:r>
              <w:rPr>
                <w:rFonts w:hint="eastAsia"/>
                <w:b/>
                <w:bCs/>
                <w:szCs w:val="21"/>
              </w:rPr>
              <w:t>36</w:t>
            </w:r>
            <w:r>
              <w:rPr>
                <w:b/>
                <w:bCs/>
                <w:szCs w:val="21"/>
              </w:rPr>
              <w:t xml:space="preserve">  噪声预测结果 dB（A）</w:t>
            </w:r>
          </w:p>
          <w:tbl>
            <w:tblPr>
              <w:tblStyle w:val="1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93"/>
              <w:gridCol w:w="1762"/>
              <w:gridCol w:w="1760"/>
              <w:gridCol w:w="1760"/>
              <w:gridCol w:w="21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vAlign w:val="center"/>
                </w:tcPr>
                <w:p>
                  <w:pPr>
                    <w:jc w:val="center"/>
                    <w:rPr>
                      <w:color w:val="000000"/>
                    </w:rPr>
                  </w:pPr>
                  <w:r>
                    <w:rPr>
                      <w:color w:val="000000"/>
                    </w:rPr>
                    <w:t>一期工程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8" w:type="pct"/>
                  <w:gridSpan w:val="2"/>
                  <w:vAlign w:val="center"/>
                </w:tcPr>
                <w:p>
                  <w:pPr>
                    <w:jc w:val="center"/>
                    <w:rPr>
                      <w:color w:val="000000"/>
                    </w:rPr>
                  </w:pPr>
                  <w:r>
                    <w:rPr>
                      <w:color w:val="000000"/>
                    </w:rPr>
                    <w:t>点位</w:t>
                  </w:r>
                </w:p>
              </w:tc>
              <w:tc>
                <w:tcPr>
                  <w:tcW w:w="1053" w:type="pct"/>
                  <w:vAlign w:val="center"/>
                </w:tcPr>
                <w:p>
                  <w:pPr>
                    <w:jc w:val="center"/>
                    <w:rPr>
                      <w:color w:val="000000"/>
                    </w:rPr>
                  </w:pPr>
                  <w:r>
                    <w:rPr>
                      <w:color w:val="000000"/>
                    </w:rPr>
                    <w:t>贡献值</w:t>
                  </w:r>
                </w:p>
              </w:tc>
              <w:tc>
                <w:tcPr>
                  <w:tcW w:w="1053" w:type="pct"/>
                  <w:vAlign w:val="center"/>
                </w:tcPr>
                <w:p>
                  <w:pPr>
                    <w:jc w:val="center"/>
                    <w:rPr>
                      <w:color w:val="000000"/>
                    </w:rPr>
                  </w:pPr>
                  <w:r>
                    <w:rPr>
                      <w:color w:val="000000"/>
                    </w:rPr>
                    <w:t>标准值</w:t>
                  </w:r>
                </w:p>
              </w:tc>
              <w:tc>
                <w:tcPr>
                  <w:tcW w:w="1306" w:type="pct"/>
                  <w:vAlign w:val="center"/>
                </w:tcPr>
                <w:p>
                  <w:pPr>
                    <w:jc w:val="center"/>
                    <w:rPr>
                      <w:color w:val="000000"/>
                    </w:rPr>
                  </w:pPr>
                  <w:r>
                    <w:rPr>
                      <w:color w:val="000000"/>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pct"/>
                  <w:vAlign w:val="center"/>
                </w:tcPr>
                <w:p>
                  <w:pPr>
                    <w:jc w:val="center"/>
                    <w:rPr>
                      <w:color w:val="000000"/>
                    </w:rPr>
                  </w:pPr>
                  <w:r>
                    <w:rPr>
                      <w:color w:val="000000"/>
                    </w:rPr>
                    <w:t>1#</w:t>
                  </w:r>
                </w:p>
              </w:tc>
              <w:tc>
                <w:tcPr>
                  <w:tcW w:w="1054" w:type="pct"/>
                  <w:vAlign w:val="center"/>
                </w:tcPr>
                <w:p>
                  <w:pPr>
                    <w:jc w:val="center"/>
                    <w:rPr>
                      <w:color w:val="000000"/>
                    </w:rPr>
                  </w:pPr>
                  <w:r>
                    <w:rPr>
                      <w:color w:val="000000"/>
                    </w:rPr>
                    <w:t>厂界北</w:t>
                  </w:r>
                </w:p>
              </w:tc>
              <w:tc>
                <w:tcPr>
                  <w:tcW w:w="1053" w:type="pct"/>
                  <w:vAlign w:val="center"/>
                </w:tcPr>
                <w:p>
                  <w:pPr>
                    <w:widowControl/>
                    <w:autoSpaceDE w:val="0"/>
                    <w:autoSpaceDN w:val="0"/>
                    <w:adjustRightInd w:val="0"/>
                    <w:jc w:val="center"/>
                    <w:rPr>
                      <w:color w:val="000000"/>
                      <w:kern w:val="0"/>
                    </w:rPr>
                  </w:pPr>
                  <w:r>
                    <w:rPr>
                      <w:rFonts w:hint="eastAsia"/>
                      <w:color w:val="000000"/>
                      <w:kern w:val="0"/>
                    </w:rPr>
                    <w:t>52.54</w:t>
                  </w:r>
                </w:p>
              </w:tc>
              <w:tc>
                <w:tcPr>
                  <w:tcW w:w="1053" w:type="pct"/>
                  <w:vMerge w:val="restart"/>
                  <w:vAlign w:val="center"/>
                </w:tcPr>
                <w:p>
                  <w:pPr>
                    <w:jc w:val="center"/>
                    <w:rPr>
                      <w:color w:val="000000"/>
                    </w:rPr>
                  </w:pPr>
                  <w:r>
                    <w:rPr>
                      <w:color w:val="000000"/>
                    </w:rPr>
                    <w:t>昼间60</w:t>
                  </w:r>
                </w:p>
              </w:tc>
              <w:tc>
                <w:tcPr>
                  <w:tcW w:w="1306" w:type="pct"/>
                  <w:vAlign w:val="center"/>
                </w:tcPr>
                <w:p>
                  <w:pPr>
                    <w:jc w:val="center"/>
                    <w:rPr>
                      <w:color w:val="000000"/>
                    </w:rPr>
                  </w:pPr>
                  <w:r>
                    <w:rPr>
                      <w:color w:val="000000"/>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pct"/>
                  <w:vAlign w:val="center"/>
                </w:tcPr>
                <w:p>
                  <w:pPr>
                    <w:jc w:val="center"/>
                    <w:rPr>
                      <w:color w:val="000000"/>
                    </w:rPr>
                  </w:pPr>
                  <w:r>
                    <w:rPr>
                      <w:color w:val="000000"/>
                    </w:rPr>
                    <w:t>2#</w:t>
                  </w:r>
                </w:p>
              </w:tc>
              <w:tc>
                <w:tcPr>
                  <w:tcW w:w="1054" w:type="pct"/>
                  <w:vAlign w:val="center"/>
                </w:tcPr>
                <w:p>
                  <w:pPr>
                    <w:jc w:val="center"/>
                    <w:rPr>
                      <w:color w:val="000000"/>
                    </w:rPr>
                  </w:pPr>
                  <w:r>
                    <w:rPr>
                      <w:color w:val="000000"/>
                    </w:rPr>
                    <w:t>厂界西</w:t>
                  </w:r>
                </w:p>
              </w:tc>
              <w:tc>
                <w:tcPr>
                  <w:tcW w:w="1053" w:type="pct"/>
                  <w:vAlign w:val="center"/>
                </w:tcPr>
                <w:p>
                  <w:pPr>
                    <w:widowControl/>
                    <w:autoSpaceDE w:val="0"/>
                    <w:autoSpaceDN w:val="0"/>
                    <w:adjustRightInd w:val="0"/>
                    <w:jc w:val="center"/>
                    <w:rPr>
                      <w:color w:val="000000"/>
                      <w:kern w:val="0"/>
                    </w:rPr>
                  </w:pPr>
                  <w:r>
                    <w:rPr>
                      <w:rFonts w:hint="eastAsia"/>
                      <w:color w:val="000000"/>
                      <w:kern w:val="0"/>
                    </w:rPr>
                    <w:t>53.89</w:t>
                  </w:r>
                </w:p>
              </w:tc>
              <w:tc>
                <w:tcPr>
                  <w:tcW w:w="1053" w:type="pct"/>
                  <w:vMerge w:val="continue"/>
                  <w:vAlign w:val="center"/>
                </w:tcPr>
                <w:p>
                  <w:pPr>
                    <w:jc w:val="center"/>
                    <w:rPr>
                      <w:color w:val="000000"/>
                    </w:rPr>
                  </w:pPr>
                </w:p>
              </w:tc>
              <w:tc>
                <w:tcPr>
                  <w:tcW w:w="1306" w:type="pct"/>
                  <w:vAlign w:val="center"/>
                </w:tcPr>
                <w:p>
                  <w:pPr>
                    <w:jc w:val="center"/>
                    <w:rPr>
                      <w:color w:val="000000"/>
                    </w:rPr>
                  </w:pPr>
                  <w:r>
                    <w:rPr>
                      <w:color w:val="000000"/>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pct"/>
                  <w:vAlign w:val="center"/>
                </w:tcPr>
                <w:p>
                  <w:pPr>
                    <w:jc w:val="center"/>
                    <w:rPr>
                      <w:color w:val="000000"/>
                    </w:rPr>
                  </w:pPr>
                  <w:r>
                    <w:rPr>
                      <w:color w:val="000000"/>
                    </w:rPr>
                    <w:t>3#</w:t>
                  </w:r>
                </w:p>
              </w:tc>
              <w:tc>
                <w:tcPr>
                  <w:tcW w:w="1054" w:type="pct"/>
                  <w:vAlign w:val="center"/>
                </w:tcPr>
                <w:p>
                  <w:pPr>
                    <w:jc w:val="center"/>
                    <w:rPr>
                      <w:color w:val="000000"/>
                    </w:rPr>
                  </w:pPr>
                  <w:r>
                    <w:rPr>
                      <w:color w:val="000000"/>
                    </w:rPr>
                    <w:t>厂界南</w:t>
                  </w:r>
                </w:p>
              </w:tc>
              <w:tc>
                <w:tcPr>
                  <w:tcW w:w="1053" w:type="pct"/>
                  <w:vAlign w:val="center"/>
                </w:tcPr>
                <w:p>
                  <w:pPr>
                    <w:widowControl/>
                    <w:autoSpaceDE w:val="0"/>
                    <w:autoSpaceDN w:val="0"/>
                    <w:adjustRightInd w:val="0"/>
                    <w:jc w:val="center"/>
                    <w:rPr>
                      <w:color w:val="000000"/>
                      <w:kern w:val="0"/>
                    </w:rPr>
                  </w:pPr>
                  <w:r>
                    <w:rPr>
                      <w:rFonts w:hint="eastAsia"/>
                      <w:color w:val="000000"/>
                      <w:kern w:val="0"/>
                    </w:rPr>
                    <w:t>41.32</w:t>
                  </w:r>
                </w:p>
              </w:tc>
              <w:tc>
                <w:tcPr>
                  <w:tcW w:w="1053" w:type="pct"/>
                  <w:vMerge w:val="continue"/>
                  <w:vAlign w:val="center"/>
                </w:tcPr>
                <w:p>
                  <w:pPr>
                    <w:jc w:val="center"/>
                    <w:rPr>
                      <w:color w:val="000000"/>
                    </w:rPr>
                  </w:pPr>
                </w:p>
              </w:tc>
              <w:tc>
                <w:tcPr>
                  <w:tcW w:w="1306" w:type="pct"/>
                  <w:vAlign w:val="center"/>
                </w:tcPr>
                <w:p>
                  <w:pPr>
                    <w:jc w:val="center"/>
                    <w:rPr>
                      <w:color w:val="000000"/>
                    </w:rPr>
                  </w:pPr>
                  <w:r>
                    <w:rPr>
                      <w:color w:val="000000"/>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pct"/>
                  <w:vAlign w:val="center"/>
                </w:tcPr>
                <w:p>
                  <w:pPr>
                    <w:jc w:val="center"/>
                    <w:rPr>
                      <w:color w:val="000000"/>
                    </w:rPr>
                  </w:pPr>
                  <w:r>
                    <w:rPr>
                      <w:color w:val="000000"/>
                    </w:rPr>
                    <w:t>4#</w:t>
                  </w:r>
                </w:p>
              </w:tc>
              <w:tc>
                <w:tcPr>
                  <w:tcW w:w="1054" w:type="pct"/>
                  <w:vAlign w:val="center"/>
                </w:tcPr>
                <w:p>
                  <w:pPr>
                    <w:jc w:val="center"/>
                    <w:rPr>
                      <w:color w:val="000000"/>
                    </w:rPr>
                  </w:pPr>
                  <w:r>
                    <w:rPr>
                      <w:color w:val="000000"/>
                    </w:rPr>
                    <w:t>厂界东</w:t>
                  </w:r>
                </w:p>
              </w:tc>
              <w:tc>
                <w:tcPr>
                  <w:tcW w:w="1053" w:type="pct"/>
                  <w:vAlign w:val="center"/>
                </w:tcPr>
                <w:p>
                  <w:pPr>
                    <w:widowControl/>
                    <w:autoSpaceDE w:val="0"/>
                    <w:autoSpaceDN w:val="0"/>
                    <w:adjustRightInd w:val="0"/>
                    <w:jc w:val="center"/>
                    <w:rPr>
                      <w:color w:val="000000"/>
                      <w:kern w:val="0"/>
                    </w:rPr>
                  </w:pPr>
                  <w:r>
                    <w:rPr>
                      <w:rFonts w:hint="eastAsia"/>
                      <w:color w:val="000000"/>
                      <w:kern w:val="0"/>
                    </w:rPr>
                    <w:t>38.88</w:t>
                  </w:r>
                </w:p>
              </w:tc>
              <w:tc>
                <w:tcPr>
                  <w:tcW w:w="1053" w:type="pct"/>
                  <w:vMerge w:val="continue"/>
                  <w:vAlign w:val="center"/>
                </w:tcPr>
                <w:p>
                  <w:pPr>
                    <w:jc w:val="center"/>
                    <w:rPr>
                      <w:color w:val="000000"/>
                    </w:rPr>
                  </w:pPr>
                </w:p>
              </w:tc>
              <w:tc>
                <w:tcPr>
                  <w:tcW w:w="1306" w:type="pct"/>
                  <w:vAlign w:val="center"/>
                </w:tcPr>
                <w:p>
                  <w:pPr>
                    <w:jc w:val="center"/>
                    <w:rPr>
                      <w:color w:val="000000"/>
                    </w:rPr>
                  </w:pPr>
                  <w:r>
                    <w:rPr>
                      <w:color w:val="000000"/>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vAlign w:val="center"/>
                </w:tcPr>
                <w:p>
                  <w:pPr>
                    <w:jc w:val="center"/>
                    <w:rPr>
                      <w:color w:val="000000"/>
                    </w:rPr>
                  </w:pPr>
                  <w:r>
                    <w:rPr>
                      <w:color w:val="000000"/>
                    </w:rPr>
                    <w:t>二期工程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88" w:type="pct"/>
                  <w:gridSpan w:val="2"/>
                  <w:vAlign w:val="center"/>
                </w:tcPr>
                <w:p>
                  <w:pPr>
                    <w:jc w:val="center"/>
                    <w:rPr>
                      <w:color w:val="000000"/>
                    </w:rPr>
                  </w:pPr>
                  <w:r>
                    <w:rPr>
                      <w:color w:val="000000"/>
                    </w:rPr>
                    <w:t>点位</w:t>
                  </w:r>
                </w:p>
              </w:tc>
              <w:tc>
                <w:tcPr>
                  <w:tcW w:w="1053" w:type="pct"/>
                  <w:vAlign w:val="center"/>
                </w:tcPr>
                <w:p>
                  <w:pPr>
                    <w:jc w:val="center"/>
                    <w:rPr>
                      <w:color w:val="000000"/>
                    </w:rPr>
                  </w:pPr>
                  <w:r>
                    <w:rPr>
                      <w:color w:val="000000"/>
                    </w:rPr>
                    <w:t>贡献值</w:t>
                  </w:r>
                </w:p>
              </w:tc>
              <w:tc>
                <w:tcPr>
                  <w:tcW w:w="1053" w:type="pct"/>
                  <w:vAlign w:val="center"/>
                </w:tcPr>
                <w:p>
                  <w:pPr>
                    <w:jc w:val="center"/>
                    <w:rPr>
                      <w:color w:val="000000"/>
                    </w:rPr>
                  </w:pPr>
                  <w:r>
                    <w:rPr>
                      <w:color w:val="000000"/>
                    </w:rPr>
                    <w:t>标准值</w:t>
                  </w:r>
                </w:p>
              </w:tc>
              <w:tc>
                <w:tcPr>
                  <w:tcW w:w="1306" w:type="pct"/>
                  <w:vAlign w:val="center"/>
                </w:tcPr>
                <w:p>
                  <w:pPr>
                    <w:jc w:val="center"/>
                    <w:rPr>
                      <w:color w:val="000000"/>
                    </w:rPr>
                  </w:pPr>
                  <w:r>
                    <w:rPr>
                      <w:color w:val="000000"/>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pct"/>
                  <w:vAlign w:val="center"/>
                </w:tcPr>
                <w:p>
                  <w:pPr>
                    <w:jc w:val="center"/>
                    <w:rPr>
                      <w:color w:val="000000"/>
                    </w:rPr>
                  </w:pPr>
                  <w:r>
                    <w:rPr>
                      <w:color w:val="000000"/>
                    </w:rPr>
                    <w:t>1#</w:t>
                  </w:r>
                </w:p>
              </w:tc>
              <w:tc>
                <w:tcPr>
                  <w:tcW w:w="1054" w:type="pct"/>
                  <w:vAlign w:val="center"/>
                </w:tcPr>
                <w:p>
                  <w:pPr>
                    <w:jc w:val="center"/>
                    <w:rPr>
                      <w:color w:val="000000"/>
                    </w:rPr>
                  </w:pPr>
                  <w:r>
                    <w:rPr>
                      <w:color w:val="000000"/>
                    </w:rPr>
                    <w:t>厂界北</w:t>
                  </w:r>
                </w:p>
              </w:tc>
              <w:tc>
                <w:tcPr>
                  <w:tcW w:w="1053" w:type="pct"/>
                  <w:vAlign w:val="center"/>
                </w:tcPr>
                <w:p>
                  <w:pPr>
                    <w:widowControl/>
                    <w:autoSpaceDE w:val="0"/>
                    <w:autoSpaceDN w:val="0"/>
                    <w:adjustRightInd w:val="0"/>
                    <w:jc w:val="center"/>
                    <w:rPr>
                      <w:color w:val="000000"/>
                      <w:kern w:val="0"/>
                    </w:rPr>
                  </w:pPr>
                  <w:r>
                    <w:rPr>
                      <w:rFonts w:hint="eastAsia"/>
                      <w:color w:val="000000"/>
                      <w:kern w:val="0"/>
                    </w:rPr>
                    <w:t>53.42</w:t>
                  </w:r>
                </w:p>
              </w:tc>
              <w:tc>
                <w:tcPr>
                  <w:tcW w:w="1053" w:type="pct"/>
                  <w:vMerge w:val="restart"/>
                  <w:vAlign w:val="center"/>
                </w:tcPr>
                <w:p>
                  <w:pPr>
                    <w:jc w:val="center"/>
                    <w:rPr>
                      <w:color w:val="000000"/>
                    </w:rPr>
                  </w:pPr>
                  <w:r>
                    <w:rPr>
                      <w:color w:val="000000"/>
                    </w:rPr>
                    <w:t>昼间60</w:t>
                  </w:r>
                </w:p>
              </w:tc>
              <w:tc>
                <w:tcPr>
                  <w:tcW w:w="1306" w:type="pct"/>
                  <w:vAlign w:val="center"/>
                </w:tcPr>
                <w:p>
                  <w:pPr>
                    <w:jc w:val="center"/>
                    <w:rPr>
                      <w:color w:val="000000"/>
                    </w:rPr>
                  </w:pPr>
                  <w:r>
                    <w:rPr>
                      <w:color w:val="000000"/>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pct"/>
                  <w:vAlign w:val="center"/>
                </w:tcPr>
                <w:p>
                  <w:pPr>
                    <w:jc w:val="center"/>
                    <w:rPr>
                      <w:color w:val="000000"/>
                    </w:rPr>
                  </w:pPr>
                  <w:r>
                    <w:rPr>
                      <w:color w:val="000000"/>
                    </w:rPr>
                    <w:t>2#</w:t>
                  </w:r>
                </w:p>
              </w:tc>
              <w:tc>
                <w:tcPr>
                  <w:tcW w:w="1054" w:type="pct"/>
                  <w:vAlign w:val="center"/>
                </w:tcPr>
                <w:p>
                  <w:pPr>
                    <w:jc w:val="center"/>
                    <w:rPr>
                      <w:color w:val="000000"/>
                    </w:rPr>
                  </w:pPr>
                  <w:r>
                    <w:rPr>
                      <w:color w:val="000000"/>
                    </w:rPr>
                    <w:t>厂界西</w:t>
                  </w:r>
                </w:p>
              </w:tc>
              <w:tc>
                <w:tcPr>
                  <w:tcW w:w="1053" w:type="pct"/>
                  <w:vAlign w:val="center"/>
                </w:tcPr>
                <w:p>
                  <w:pPr>
                    <w:widowControl/>
                    <w:autoSpaceDE w:val="0"/>
                    <w:autoSpaceDN w:val="0"/>
                    <w:adjustRightInd w:val="0"/>
                    <w:jc w:val="center"/>
                    <w:rPr>
                      <w:color w:val="000000"/>
                      <w:kern w:val="0"/>
                    </w:rPr>
                  </w:pPr>
                  <w:r>
                    <w:rPr>
                      <w:rFonts w:hint="eastAsia"/>
                      <w:color w:val="000000"/>
                      <w:kern w:val="0"/>
                    </w:rPr>
                    <w:t>57.62</w:t>
                  </w:r>
                </w:p>
              </w:tc>
              <w:tc>
                <w:tcPr>
                  <w:tcW w:w="1053" w:type="pct"/>
                  <w:vMerge w:val="continue"/>
                  <w:vAlign w:val="center"/>
                </w:tcPr>
                <w:p>
                  <w:pPr>
                    <w:jc w:val="center"/>
                    <w:rPr>
                      <w:color w:val="000000"/>
                    </w:rPr>
                  </w:pPr>
                </w:p>
              </w:tc>
              <w:tc>
                <w:tcPr>
                  <w:tcW w:w="1306" w:type="pct"/>
                  <w:vAlign w:val="center"/>
                </w:tcPr>
                <w:p>
                  <w:pPr>
                    <w:jc w:val="center"/>
                    <w:rPr>
                      <w:color w:val="000000"/>
                    </w:rPr>
                  </w:pPr>
                  <w:r>
                    <w:rPr>
                      <w:color w:val="000000"/>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pct"/>
                  <w:vAlign w:val="center"/>
                </w:tcPr>
                <w:p>
                  <w:pPr>
                    <w:jc w:val="center"/>
                    <w:rPr>
                      <w:color w:val="000000"/>
                    </w:rPr>
                  </w:pPr>
                  <w:r>
                    <w:rPr>
                      <w:color w:val="000000"/>
                    </w:rPr>
                    <w:t>3#</w:t>
                  </w:r>
                </w:p>
              </w:tc>
              <w:tc>
                <w:tcPr>
                  <w:tcW w:w="1054" w:type="pct"/>
                  <w:vAlign w:val="center"/>
                </w:tcPr>
                <w:p>
                  <w:pPr>
                    <w:jc w:val="center"/>
                    <w:rPr>
                      <w:color w:val="000000"/>
                    </w:rPr>
                  </w:pPr>
                  <w:r>
                    <w:rPr>
                      <w:color w:val="000000"/>
                    </w:rPr>
                    <w:t>厂界南</w:t>
                  </w:r>
                </w:p>
              </w:tc>
              <w:tc>
                <w:tcPr>
                  <w:tcW w:w="1053" w:type="pct"/>
                  <w:vAlign w:val="center"/>
                </w:tcPr>
                <w:p>
                  <w:pPr>
                    <w:widowControl/>
                    <w:autoSpaceDE w:val="0"/>
                    <w:autoSpaceDN w:val="0"/>
                    <w:adjustRightInd w:val="0"/>
                    <w:jc w:val="center"/>
                    <w:rPr>
                      <w:color w:val="000000"/>
                      <w:kern w:val="0"/>
                    </w:rPr>
                  </w:pPr>
                  <w:r>
                    <w:rPr>
                      <w:rFonts w:hint="eastAsia"/>
                      <w:color w:val="000000"/>
                      <w:kern w:val="0"/>
                    </w:rPr>
                    <w:t>44.10</w:t>
                  </w:r>
                </w:p>
              </w:tc>
              <w:tc>
                <w:tcPr>
                  <w:tcW w:w="1053" w:type="pct"/>
                  <w:vMerge w:val="continue"/>
                  <w:vAlign w:val="center"/>
                </w:tcPr>
                <w:p>
                  <w:pPr>
                    <w:jc w:val="center"/>
                    <w:rPr>
                      <w:color w:val="000000"/>
                    </w:rPr>
                  </w:pPr>
                </w:p>
              </w:tc>
              <w:tc>
                <w:tcPr>
                  <w:tcW w:w="1306" w:type="pct"/>
                  <w:vAlign w:val="center"/>
                </w:tcPr>
                <w:p>
                  <w:pPr>
                    <w:jc w:val="center"/>
                    <w:rPr>
                      <w:color w:val="000000"/>
                    </w:rPr>
                  </w:pPr>
                  <w:r>
                    <w:rPr>
                      <w:color w:val="000000"/>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pct"/>
                  <w:vAlign w:val="center"/>
                </w:tcPr>
                <w:p>
                  <w:pPr>
                    <w:jc w:val="center"/>
                    <w:rPr>
                      <w:color w:val="000000"/>
                    </w:rPr>
                  </w:pPr>
                  <w:r>
                    <w:rPr>
                      <w:color w:val="000000"/>
                    </w:rPr>
                    <w:t>4#</w:t>
                  </w:r>
                </w:p>
              </w:tc>
              <w:tc>
                <w:tcPr>
                  <w:tcW w:w="1054" w:type="pct"/>
                  <w:vAlign w:val="center"/>
                </w:tcPr>
                <w:p>
                  <w:pPr>
                    <w:jc w:val="center"/>
                    <w:rPr>
                      <w:color w:val="000000"/>
                    </w:rPr>
                  </w:pPr>
                  <w:r>
                    <w:rPr>
                      <w:color w:val="000000"/>
                    </w:rPr>
                    <w:t>厂界东</w:t>
                  </w:r>
                </w:p>
              </w:tc>
              <w:tc>
                <w:tcPr>
                  <w:tcW w:w="1053" w:type="pct"/>
                  <w:vAlign w:val="center"/>
                </w:tcPr>
                <w:p>
                  <w:pPr>
                    <w:widowControl/>
                    <w:autoSpaceDE w:val="0"/>
                    <w:autoSpaceDN w:val="0"/>
                    <w:adjustRightInd w:val="0"/>
                    <w:jc w:val="center"/>
                    <w:rPr>
                      <w:color w:val="000000"/>
                      <w:kern w:val="0"/>
                    </w:rPr>
                  </w:pPr>
                  <w:r>
                    <w:rPr>
                      <w:rFonts w:hint="eastAsia"/>
                      <w:color w:val="000000"/>
                      <w:kern w:val="0"/>
                    </w:rPr>
                    <w:t>40.91</w:t>
                  </w:r>
                </w:p>
              </w:tc>
              <w:tc>
                <w:tcPr>
                  <w:tcW w:w="1053" w:type="pct"/>
                  <w:vMerge w:val="continue"/>
                  <w:vAlign w:val="center"/>
                </w:tcPr>
                <w:p>
                  <w:pPr>
                    <w:jc w:val="center"/>
                    <w:rPr>
                      <w:color w:val="000000"/>
                    </w:rPr>
                  </w:pPr>
                </w:p>
              </w:tc>
              <w:tc>
                <w:tcPr>
                  <w:tcW w:w="1306" w:type="pct"/>
                  <w:vAlign w:val="center"/>
                </w:tcPr>
                <w:p>
                  <w:pPr>
                    <w:jc w:val="center"/>
                    <w:rPr>
                      <w:color w:val="000000"/>
                    </w:rPr>
                  </w:pPr>
                  <w:r>
                    <w:rPr>
                      <w:color w:val="000000"/>
                    </w:rPr>
                    <w:t>达标</w:t>
                  </w:r>
                </w:p>
              </w:tc>
            </w:tr>
          </w:tbl>
          <w:p>
            <w:pPr>
              <w:adjustRightInd w:val="0"/>
              <w:snapToGrid w:val="0"/>
              <w:jc w:val="center"/>
              <w:rPr>
                <w:bCs/>
                <w:sz w:val="24"/>
              </w:rPr>
            </w:pPr>
          </w:p>
          <w:p>
            <w:pPr>
              <w:adjustRightInd w:val="0"/>
              <w:snapToGrid w:val="0"/>
              <w:rPr>
                <w:bCs/>
                <w:sz w:val="24"/>
              </w:rPr>
            </w:pPr>
          </w:p>
          <w:p>
            <w:pPr>
              <w:adjustRightInd w:val="0"/>
              <w:snapToGrid w:val="0"/>
              <w:jc w:val="center"/>
              <w:rPr>
                <w:bCs/>
                <w:sz w:val="24"/>
              </w:rPr>
            </w:pPr>
          </w:p>
          <w:p>
            <w:pPr>
              <w:adjustRightInd w:val="0"/>
              <w:snapToGrid w:val="0"/>
              <w:jc w:val="center"/>
              <w:rPr>
                <w:bCs/>
                <w:sz w:val="24"/>
              </w:rPr>
            </w:pPr>
          </w:p>
          <w:p>
            <w:pPr>
              <w:adjustRightInd w:val="0"/>
              <w:snapToGrid w:val="0"/>
              <w:jc w:val="center"/>
              <w:rPr>
                <w:bCs/>
                <w:sz w:val="24"/>
              </w:rPr>
            </w:pPr>
          </w:p>
          <w:p>
            <w:pPr>
              <w:adjustRightInd w:val="0"/>
              <w:snapToGrid w:val="0"/>
              <w:jc w:val="center"/>
              <w:rPr>
                <w:bCs/>
                <w:sz w:val="24"/>
              </w:rPr>
            </w:pPr>
          </w:p>
          <w:p>
            <w:pPr>
              <w:adjustRightInd w:val="0"/>
              <w:snapToGrid w:val="0"/>
              <w:jc w:val="center"/>
              <w:rPr>
                <w:bCs/>
                <w:sz w:val="24"/>
              </w:rPr>
            </w:pPr>
          </w:p>
        </w:tc>
      </w:tr>
    </w:tbl>
    <w:p>
      <w:pPr>
        <w:adjustRightInd w:val="0"/>
        <w:snapToGrid w:val="0"/>
        <w:jc w:val="center"/>
        <w:rPr>
          <w:bCs/>
          <w:sz w:val="24"/>
        </w:rPr>
        <w:sectPr>
          <w:pgSz w:w="11906" w:h="16838"/>
          <w:pgMar w:top="1701" w:right="1531" w:bottom="1701" w:left="1531" w:header="851" w:footer="1077" w:gutter="0"/>
          <w:cols w:space="720" w:num="1"/>
          <w:docGrid w:linePitch="312" w:charSpace="0"/>
        </w:sectPr>
      </w:pP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3" w:hRule="atLeast"/>
        </w:trPr>
        <w:tc>
          <w:tcPr>
            <w:tcW w:w="534" w:type="dxa"/>
            <w:shd w:val="clear" w:color="auto" w:fill="auto"/>
            <w:vAlign w:val="center"/>
          </w:tcPr>
          <w:p>
            <w:pPr>
              <w:adjustRightInd w:val="0"/>
              <w:snapToGrid w:val="0"/>
              <w:jc w:val="center"/>
              <w:rPr>
                <w:bCs/>
                <w:sz w:val="24"/>
              </w:rPr>
            </w:pPr>
            <w:r>
              <w:rPr>
                <w:bCs/>
                <w:sz w:val="24"/>
              </w:rPr>
              <w:t>运营期环境影响和保护措施</w:t>
            </w:r>
          </w:p>
        </w:tc>
        <w:tc>
          <w:tcPr>
            <w:tcW w:w="13118" w:type="dxa"/>
            <w:shd w:val="clear" w:color="auto" w:fill="auto"/>
          </w:tcPr>
          <w:p>
            <w:pPr>
              <w:spacing w:line="360" w:lineRule="auto"/>
              <w:ind w:firstLine="475" w:firstLineChars="197"/>
              <w:rPr>
                <w:b/>
                <w:sz w:val="24"/>
              </w:rPr>
            </w:pPr>
            <w:r>
              <w:rPr>
                <w:b/>
                <w:sz w:val="24"/>
              </w:rPr>
              <w:t>四、固废影响分析</w:t>
            </w:r>
          </w:p>
          <w:p>
            <w:pPr>
              <w:spacing w:line="360" w:lineRule="auto"/>
              <w:jc w:val="center"/>
              <w:rPr>
                <w:b/>
                <w:szCs w:val="21"/>
              </w:rPr>
            </w:pPr>
            <w:r>
              <w:rPr>
                <w:b/>
                <w:szCs w:val="21"/>
              </w:rPr>
              <w:t>表</w:t>
            </w:r>
            <w:r>
              <w:rPr>
                <w:rFonts w:hint="eastAsia"/>
                <w:b/>
                <w:szCs w:val="21"/>
              </w:rPr>
              <w:t>37</w:t>
            </w:r>
            <w:r>
              <w:rPr>
                <w:b/>
                <w:szCs w:val="21"/>
              </w:rPr>
              <w:t xml:space="preserve">  固体废物排放及控制表</w:t>
            </w:r>
          </w:p>
          <w:tbl>
            <w:tblPr>
              <w:tblStyle w:val="1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64"/>
              <w:gridCol w:w="1065"/>
              <w:gridCol w:w="1571"/>
              <w:gridCol w:w="1101"/>
              <w:gridCol w:w="865"/>
              <w:gridCol w:w="1127"/>
              <w:gridCol w:w="1119"/>
              <w:gridCol w:w="868"/>
              <w:gridCol w:w="1299"/>
              <w:gridCol w:w="981"/>
              <w:gridCol w:w="18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3" w:hRule="atLeast"/>
              </w:trPr>
              <w:tc>
                <w:tcPr>
                  <w:tcW w:w="12872" w:type="dxa"/>
                  <w:gridSpan w:val="11"/>
                  <w:shd w:val="clear" w:color="auto" w:fill="auto"/>
                  <w:vAlign w:val="center"/>
                </w:tcPr>
                <w:p>
                  <w:pPr>
                    <w:jc w:val="center"/>
                    <w:rPr>
                      <w:b/>
                      <w:bCs/>
                      <w:szCs w:val="21"/>
                    </w:rPr>
                  </w:pPr>
                  <w:r>
                    <w:rPr>
                      <w:b/>
                      <w:bCs/>
                      <w:szCs w:val="21"/>
                    </w:rPr>
                    <w:t>一期工程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3" w:hRule="atLeast"/>
              </w:trPr>
              <w:tc>
                <w:tcPr>
                  <w:tcW w:w="1064" w:type="dxa"/>
                  <w:shd w:val="clear" w:color="auto" w:fill="auto"/>
                  <w:vAlign w:val="center"/>
                </w:tcPr>
                <w:p>
                  <w:pPr>
                    <w:jc w:val="center"/>
                    <w:rPr>
                      <w:b/>
                      <w:bCs/>
                      <w:szCs w:val="21"/>
                    </w:rPr>
                  </w:pPr>
                  <w:r>
                    <w:rPr>
                      <w:b/>
                      <w:bCs/>
                      <w:szCs w:val="21"/>
                    </w:rPr>
                    <w:t>产生环节</w:t>
                  </w:r>
                </w:p>
              </w:tc>
              <w:tc>
                <w:tcPr>
                  <w:tcW w:w="1065" w:type="dxa"/>
                  <w:shd w:val="clear" w:color="auto" w:fill="auto"/>
                  <w:vAlign w:val="center"/>
                </w:tcPr>
                <w:p>
                  <w:pPr>
                    <w:jc w:val="center"/>
                    <w:rPr>
                      <w:b/>
                      <w:bCs/>
                      <w:szCs w:val="21"/>
                    </w:rPr>
                  </w:pPr>
                  <w:r>
                    <w:rPr>
                      <w:b/>
                      <w:bCs/>
                      <w:szCs w:val="21"/>
                    </w:rPr>
                    <w:t>名称</w:t>
                  </w:r>
                </w:p>
              </w:tc>
              <w:tc>
                <w:tcPr>
                  <w:tcW w:w="1571" w:type="dxa"/>
                  <w:shd w:val="clear" w:color="auto" w:fill="auto"/>
                  <w:vAlign w:val="center"/>
                </w:tcPr>
                <w:p>
                  <w:pPr>
                    <w:jc w:val="center"/>
                    <w:rPr>
                      <w:b/>
                      <w:bCs/>
                      <w:szCs w:val="21"/>
                    </w:rPr>
                  </w:pPr>
                  <w:r>
                    <w:rPr>
                      <w:b/>
                      <w:bCs/>
                      <w:szCs w:val="21"/>
                    </w:rPr>
                    <w:t>属性</w:t>
                  </w:r>
                </w:p>
              </w:tc>
              <w:tc>
                <w:tcPr>
                  <w:tcW w:w="1101" w:type="dxa"/>
                  <w:shd w:val="clear" w:color="auto" w:fill="auto"/>
                  <w:vAlign w:val="center"/>
                </w:tcPr>
                <w:p>
                  <w:pPr>
                    <w:jc w:val="center"/>
                    <w:rPr>
                      <w:b/>
                      <w:bCs/>
                      <w:szCs w:val="21"/>
                    </w:rPr>
                  </w:pPr>
                  <w:r>
                    <w:rPr>
                      <w:b/>
                      <w:bCs/>
                      <w:szCs w:val="21"/>
                    </w:rPr>
                    <w:t>主要有毒有害物质名称</w:t>
                  </w:r>
                </w:p>
              </w:tc>
              <w:tc>
                <w:tcPr>
                  <w:tcW w:w="865" w:type="dxa"/>
                  <w:shd w:val="clear" w:color="auto" w:fill="auto"/>
                  <w:vAlign w:val="center"/>
                </w:tcPr>
                <w:p>
                  <w:pPr>
                    <w:jc w:val="center"/>
                    <w:rPr>
                      <w:b/>
                      <w:bCs/>
                      <w:szCs w:val="21"/>
                    </w:rPr>
                  </w:pPr>
                  <w:r>
                    <w:rPr>
                      <w:b/>
                      <w:bCs/>
                      <w:szCs w:val="21"/>
                    </w:rPr>
                    <w:t>物理</w:t>
                  </w:r>
                </w:p>
                <w:p>
                  <w:pPr>
                    <w:jc w:val="center"/>
                    <w:rPr>
                      <w:b/>
                      <w:bCs/>
                      <w:szCs w:val="21"/>
                    </w:rPr>
                  </w:pPr>
                  <w:r>
                    <w:rPr>
                      <w:b/>
                      <w:bCs/>
                      <w:szCs w:val="21"/>
                    </w:rPr>
                    <w:t>性状</w:t>
                  </w:r>
                </w:p>
              </w:tc>
              <w:tc>
                <w:tcPr>
                  <w:tcW w:w="1127" w:type="dxa"/>
                  <w:shd w:val="clear" w:color="auto" w:fill="auto"/>
                  <w:vAlign w:val="center"/>
                </w:tcPr>
                <w:p>
                  <w:pPr>
                    <w:jc w:val="center"/>
                    <w:rPr>
                      <w:b/>
                      <w:bCs/>
                      <w:szCs w:val="21"/>
                    </w:rPr>
                  </w:pPr>
                  <w:r>
                    <w:rPr>
                      <w:b/>
                      <w:bCs/>
                      <w:szCs w:val="21"/>
                    </w:rPr>
                    <w:t>环境危险特性</w:t>
                  </w:r>
                </w:p>
              </w:tc>
              <w:tc>
                <w:tcPr>
                  <w:tcW w:w="1119" w:type="dxa"/>
                  <w:shd w:val="clear" w:color="auto" w:fill="auto"/>
                  <w:vAlign w:val="center"/>
                </w:tcPr>
                <w:p>
                  <w:pPr>
                    <w:jc w:val="center"/>
                    <w:rPr>
                      <w:b/>
                      <w:bCs/>
                      <w:szCs w:val="21"/>
                    </w:rPr>
                  </w:pPr>
                  <w:r>
                    <w:rPr>
                      <w:b/>
                      <w:bCs/>
                      <w:szCs w:val="21"/>
                    </w:rPr>
                    <w:t>年度</w:t>
                  </w:r>
                </w:p>
                <w:p>
                  <w:pPr>
                    <w:jc w:val="center"/>
                    <w:rPr>
                      <w:b/>
                      <w:bCs/>
                      <w:szCs w:val="21"/>
                    </w:rPr>
                  </w:pPr>
                  <w:r>
                    <w:rPr>
                      <w:b/>
                      <w:bCs/>
                      <w:szCs w:val="21"/>
                    </w:rPr>
                    <w:t>产生量</w:t>
                  </w:r>
                </w:p>
              </w:tc>
              <w:tc>
                <w:tcPr>
                  <w:tcW w:w="868" w:type="dxa"/>
                  <w:vAlign w:val="center"/>
                </w:tcPr>
                <w:p>
                  <w:pPr>
                    <w:jc w:val="center"/>
                    <w:rPr>
                      <w:b/>
                      <w:bCs/>
                      <w:szCs w:val="21"/>
                    </w:rPr>
                  </w:pPr>
                  <w:r>
                    <w:rPr>
                      <w:b/>
                      <w:bCs/>
                      <w:szCs w:val="21"/>
                    </w:rPr>
                    <w:t>贮存方式</w:t>
                  </w:r>
                </w:p>
              </w:tc>
              <w:tc>
                <w:tcPr>
                  <w:tcW w:w="1299" w:type="dxa"/>
                  <w:vAlign w:val="center"/>
                </w:tcPr>
                <w:p>
                  <w:pPr>
                    <w:jc w:val="center"/>
                    <w:rPr>
                      <w:b/>
                      <w:bCs/>
                      <w:szCs w:val="21"/>
                    </w:rPr>
                  </w:pPr>
                  <w:r>
                    <w:rPr>
                      <w:b/>
                      <w:bCs/>
                      <w:szCs w:val="21"/>
                    </w:rPr>
                    <w:t>利用处置方式和去向</w:t>
                  </w:r>
                </w:p>
              </w:tc>
              <w:tc>
                <w:tcPr>
                  <w:tcW w:w="981" w:type="dxa"/>
                  <w:vAlign w:val="center"/>
                </w:tcPr>
                <w:p>
                  <w:pPr>
                    <w:jc w:val="center"/>
                    <w:rPr>
                      <w:b/>
                      <w:bCs/>
                      <w:szCs w:val="21"/>
                    </w:rPr>
                  </w:pPr>
                  <w:r>
                    <w:rPr>
                      <w:b/>
                      <w:bCs/>
                      <w:szCs w:val="21"/>
                    </w:rPr>
                    <w:t>利用或处置量</w:t>
                  </w:r>
                </w:p>
              </w:tc>
              <w:tc>
                <w:tcPr>
                  <w:tcW w:w="1812" w:type="dxa"/>
                  <w:vAlign w:val="center"/>
                </w:tcPr>
                <w:p>
                  <w:pPr>
                    <w:jc w:val="center"/>
                    <w:rPr>
                      <w:b/>
                      <w:bCs/>
                      <w:szCs w:val="21"/>
                    </w:rPr>
                  </w:pPr>
                  <w:r>
                    <w:rPr>
                      <w:b/>
                      <w:bCs/>
                      <w:szCs w:val="21"/>
                    </w:rPr>
                    <w:t>环境管理要求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0" w:hRule="atLeast"/>
              </w:trPr>
              <w:tc>
                <w:tcPr>
                  <w:tcW w:w="1064" w:type="dxa"/>
                  <w:shd w:val="clear" w:color="auto" w:fill="auto"/>
                  <w:vAlign w:val="center"/>
                </w:tcPr>
                <w:p>
                  <w:pPr>
                    <w:jc w:val="center"/>
                    <w:rPr>
                      <w:szCs w:val="21"/>
                    </w:rPr>
                  </w:pPr>
                  <w:r>
                    <w:rPr>
                      <w:szCs w:val="21"/>
                    </w:rPr>
                    <w:t>员工生活</w:t>
                  </w:r>
                </w:p>
              </w:tc>
              <w:tc>
                <w:tcPr>
                  <w:tcW w:w="1065" w:type="dxa"/>
                  <w:shd w:val="clear" w:color="auto" w:fill="auto"/>
                  <w:vAlign w:val="center"/>
                </w:tcPr>
                <w:p>
                  <w:pPr>
                    <w:jc w:val="center"/>
                    <w:rPr>
                      <w:szCs w:val="21"/>
                    </w:rPr>
                  </w:pPr>
                  <w:r>
                    <w:rPr>
                      <w:szCs w:val="21"/>
                    </w:rPr>
                    <w:t>生活垃圾</w:t>
                  </w:r>
                </w:p>
              </w:tc>
              <w:tc>
                <w:tcPr>
                  <w:tcW w:w="1571" w:type="dxa"/>
                  <w:shd w:val="clear" w:color="auto" w:fill="auto"/>
                  <w:vAlign w:val="center"/>
                </w:tcPr>
                <w:p>
                  <w:pPr>
                    <w:jc w:val="center"/>
                    <w:rPr>
                      <w:szCs w:val="21"/>
                    </w:rPr>
                  </w:pPr>
                  <w:r>
                    <w:rPr>
                      <w:szCs w:val="21"/>
                    </w:rPr>
                    <w:t>/</w:t>
                  </w:r>
                </w:p>
              </w:tc>
              <w:tc>
                <w:tcPr>
                  <w:tcW w:w="1101" w:type="dxa"/>
                  <w:shd w:val="clear" w:color="auto" w:fill="auto"/>
                  <w:vAlign w:val="center"/>
                </w:tcPr>
                <w:p>
                  <w:pPr>
                    <w:jc w:val="center"/>
                    <w:rPr>
                      <w:szCs w:val="21"/>
                    </w:rPr>
                  </w:pPr>
                  <w:r>
                    <w:rPr>
                      <w:szCs w:val="21"/>
                    </w:rPr>
                    <w:t>/</w:t>
                  </w:r>
                </w:p>
              </w:tc>
              <w:tc>
                <w:tcPr>
                  <w:tcW w:w="865" w:type="dxa"/>
                  <w:shd w:val="clear" w:color="auto" w:fill="auto"/>
                  <w:vAlign w:val="center"/>
                </w:tcPr>
                <w:p>
                  <w:pPr>
                    <w:jc w:val="center"/>
                    <w:rPr>
                      <w:szCs w:val="21"/>
                    </w:rPr>
                  </w:pPr>
                  <w:r>
                    <w:rPr>
                      <w:szCs w:val="21"/>
                    </w:rPr>
                    <w:t>/</w:t>
                  </w:r>
                </w:p>
              </w:tc>
              <w:tc>
                <w:tcPr>
                  <w:tcW w:w="1127" w:type="dxa"/>
                  <w:shd w:val="clear" w:color="auto" w:fill="auto"/>
                  <w:vAlign w:val="center"/>
                </w:tcPr>
                <w:p>
                  <w:pPr>
                    <w:jc w:val="center"/>
                    <w:rPr>
                      <w:szCs w:val="21"/>
                    </w:rPr>
                  </w:pPr>
                  <w:r>
                    <w:rPr>
                      <w:szCs w:val="21"/>
                    </w:rPr>
                    <w:t>/</w:t>
                  </w:r>
                </w:p>
              </w:tc>
              <w:tc>
                <w:tcPr>
                  <w:tcW w:w="1119" w:type="dxa"/>
                  <w:shd w:val="clear" w:color="auto" w:fill="auto"/>
                  <w:vAlign w:val="center"/>
                </w:tcPr>
                <w:p>
                  <w:pPr>
                    <w:jc w:val="center"/>
                    <w:rPr>
                      <w:szCs w:val="21"/>
                    </w:rPr>
                  </w:pPr>
                  <w:r>
                    <w:rPr>
                      <w:rFonts w:hint="eastAsia"/>
                      <w:szCs w:val="21"/>
                    </w:rPr>
                    <w:t>2.25t/a</w:t>
                  </w:r>
                </w:p>
              </w:tc>
              <w:tc>
                <w:tcPr>
                  <w:tcW w:w="868" w:type="dxa"/>
                  <w:vAlign w:val="center"/>
                </w:tcPr>
                <w:p>
                  <w:pPr>
                    <w:jc w:val="center"/>
                    <w:rPr>
                      <w:szCs w:val="21"/>
                    </w:rPr>
                  </w:pPr>
                  <w:r>
                    <w:rPr>
                      <w:szCs w:val="21"/>
                    </w:rPr>
                    <w:t>存放于垃圾桶内</w:t>
                  </w:r>
                </w:p>
              </w:tc>
              <w:tc>
                <w:tcPr>
                  <w:tcW w:w="1299" w:type="dxa"/>
                  <w:vAlign w:val="center"/>
                </w:tcPr>
                <w:p>
                  <w:pPr>
                    <w:jc w:val="center"/>
                    <w:rPr>
                      <w:szCs w:val="21"/>
                    </w:rPr>
                  </w:pPr>
                  <w:r>
                    <w:rPr>
                      <w:szCs w:val="21"/>
                    </w:rPr>
                    <w:t>环卫部门</w:t>
                  </w:r>
                </w:p>
                <w:p>
                  <w:pPr>
                    <w:jc w:val="center"/>
                    <w:rPr>
                      <w:szCs w:val="21"/>
                    </w:rPr>
                  </w:pPr>
                  <w:r>
                    <w:rPr>
                      <w:szCs w:val="21"/>
                    </w:rPr>
                    <w:t>处理</w:t>
                  </w:r>
                </w:p>
              </w:tc>
              <w:tc>
                <w:tcPr>
                  <w:tcW w:w="981" w:type="dxa"/>
                  <w:vAlign w:val="center"/>
                </w:tcPr>
                <w:p>
                  <w:pPr>
                    <w:jc w:val="center"/>
                    <w:rPr>
                      <w:szCs w:val="21"/>
                    </w:rPr>
                  </w:pPr>
                  <w:r>
                    <w:rPr>
                      <w:rFonts w:hint="eastAsia"/>
                      <w:szCs w:val="21"/>
                    </w:rPr>
                    <w:t>1.5t/a</w:t>
                  </w:r>
                </w:p>
              </w:tc>
              <w:tc>
                <w:tcPr>
                  <w:tcW w:w="1812" w:type="dxa"/>
                  <w:vAlign w:val="center"/>
                </w:tcPr>
                <w:p>
                  <w:pPr>
                    <w:jc w:val="center"/>
                    <w:rPr>
                      <w:szCs w:val="21"/>
                    </w:rPr>
                  </w:pPr>
                  <w:r>
                    <w:rPr>
                      <w:szCs w:val="21"/>
                    </w:rPr>
                    <w:t>禁止随意倾倒，垃圾分类，由环卫部门处理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shd w:val="clear" w:color="auto" w:fill="auto"/>
                  <w:vAlign w:val="center"/>
                </w:tcPr>
                <w:p>
                  <w:pPr>
                    <w:jc w:val="center"/>
                    <w:rPr>
                      <w:szCs w:val="21"/>
                    </w:rPr>
                  </w:pPr>
                  <w:r>
                    <w:rPr>
                      <w:szCs w:val="21"/>
                    </w:rPr>
                    <w:t>加热锻压</w:t>
                  </w:r>
                </w:p>
              </w:tc>
              <w:tc>
                <w:tcPr>
                  <w:tcW w:w="1065" w:type="dxa"/>
                  <w:shd w:val="clear" w:color="auto" w:fill="auto"/>
                  <w:vAlign w:val="center"/>
                </w:tcPr>
                <w:p>
                  <w:pPr>
                    <w:jc w:val="center"/>
                    <w:rPr>
                      <w:szCs w:val="21"/>
                    </w:rPr>
                  </w:pPr>
                  <w:r>
                    <w:rPr>
                      <w:szCs w:val="21"/>
                    </w:rPr>
                    <w:t>氧化铁皮</w:t>
                  </w:r>
                </w:p>
              </w:tc>
              <w:tc>
                <w:tcPr>
                  <w:tcW w:w="1571" w:type="dxa"/>
                  <w:vMerge w:val="restart"/>
                  <w:shd w:val="clear" w:color="auto" w:fill="auto"/>
                  <w:vAlign w:val="center"/>
                </w:tcPr>
                <w:p>
                  <w:pPr>
                    <w:jc w:val="center"/>
                    <w:rPr>
                      <w:szCs w:val="21"/>
                    </w:rPr>
                  </w:pPr>
                  <w:r>
                    <w:rPr>
                      <w:szCs w:val="21"/>
                    </w:rPr>
                    <w:t>一般工业</w:t>
                  </w:r>
                </w:p>
                <w:p>
                  <w:pPr>
                    <w:jc w:val="center"/>
                    <w:rPr>
                      <w:szCs w:val="21"/>
                    </w:rPr>
                  </w:pPr>
                  <w:r>
                    <w:rPr>
                      <w:szCs w:val="21"/>
                    </w:rPr>
                    <w:t>固体废物</w:t>
                  </w:r>
                </w:p>
              </w:tc>
              <w:tc>
                <w:tcPr>
                  <w:tcW w:w="1101" w:type="dxa"/>
                  <w:shd w:val="clear" w:color="auto" w:fill="auto"/>
                  <w:vAlign w:val="center"/>
                </w:tcPr>
                <w:p>
                  <w:pPr>
                    <w:jc w:val="center"/>
                    <w:rPr>
                      <w:szCs w:val="21"/>
                    </w:rPr>
                  </w:pPr>
                  <w:r>
                    <w:rPr>
                      <w:szCs w:val="21"/>
                    </w:rPr>
                    <w:t>/</w:t>
                  </w:r>
                </w:p>
              </w:tc>
              <w:tc>
                <w:tcPr>
                  <w:tcW w:w="865" w:type="dxa"/>
                  <w:shd w:val="clear" w:color="auto" w:fill="auto"/>
                  <w:vAlign w:val="center"/>
                </w:tcPr>
                <w:p>
                  <w:pPr>
                    <w:jc w:val="center"/>
                    <w:rPr>
                      <w:szCs w:val="21"/>
                    </w:rPr>
                  </w:pPr>
                  <w:r>
                    <w:rPr>
                      <w:szCs w:val="21"/>
                    </w:rPr>
                    <w:t>/</w:t>
                  </w:r>
                </w:p>
              </w:tc>
              <w:tc>
                <w:tcPr>
                  <w:tcW w:w="1127" w:type="dxa"/>
                  <w:shd w:val="clear" w:color="auto" w:fill="auto"/>
                  <w:vAlign w:val="center"/>
                </w:tcPr>
                <w:p>
                  <w:pPr>
                    <w:jc w:val="center"/>
                    <w:rPr>
                      <w:szCs w:val="21"/>
                    </w:rPr>
                  </w:pPr>
                  <w:r>
                    <w:rPr>
                      <w:szCs w:val="21"/>
                    </w:rPr>
                    <w:t>/</w:t>
                  </w:r>
                </w:p>
              </w:tc>
              <w:tc>
                <w:tcPr>
                  <w:tcW w:w="1119" w:type="dxa"/>
                  <w:shd w:val="clear" w:color="auto" w:fill="auto"/>
                  <w:vAlign w:val="center"/>
                </w:tcPr>
                <w:p>
                  <w:pPr>
                    <w:jc w:val="center"/>
                    <w:rPr>
                      <w:szCs w:val="21"/>
                    </w:rPr>
                  </w:pPr>
                  <w:r>
                    <w:rPr>
                      <w:rFonts w:hint="eastAsia"/>
                      <w:szCs w:val="21"/>
                    </w:rPr>
                    <w:t>75t/a</w:t>
                  </w:r>
                </w:p>
              </w:tc>
              <w:tc>
                <w:tcPr>
                  <w:tcW w:w="868" w:type="dxa"/>
                  <w:vMerge w:val="restart"/>
                  <w:vAlign w:val="center"/>
                </w:tcPr>
                <w:p>
                  <w:pPr>
                    <w:jc w:val="center"/>
                    <w:rPr>
                      <w:szCs w:val="21"/>
                    </w:rPr>
                  </w:pPr>
                  <w:r>
                    <w:rPr>
                      <w:szCs w:val="21"/>
                    </w:rPr>
                    <w:t>暂存于一般固体废物暂存</w:t>
                  </w:r>
                  <w:r>
                    <w:rPr>
                      <w:rFonts w:hint="eastAsia"/>
                      <w:szCs w:val="21"/>
                    </w:rPr>
                    <w:t>间</w:t>
                  </w:r>
                </w:p>
              </w:tc>
              <w:tc>
                <w:tcPr>
                  <w:tcW w:w="1299" w:type="dxa"/>
                  <w:vMerge w:val="restart"/>
                  <w:vAlign w:val="center"/>
                </w:tcPr>
                <w:p>
                  <w:pPr>
                    <w:jc w:val="center"/>
                    <w:rPr>
                      <w:szCs w:val="21"/>
                    </w:rPr>
                  </w:pPr>
                  <w:r>
                    <w:rPr>
                      <w:szCs w:val="21"/>
                    </w:rPr>
                    <w:t>废品回收站</w:t>
                  </w:r>
                </w:p>
              </w:tc>
              <w:tc>
                <w:tcPr>
                  <w:tcW w:w="981" w:type="dxa"/>
                  <w:vAlign w:val="center"/>
                </w:tcPr>
                <w:p>
                  <w:pPr>
                    <w:jc w:val="center"/>
                    <w:rPr>
                      <w:szCs w:val="21"/>
                    </w:rPr>
                  </w:pPr>
                  <w:r>
                    <w:rPr>
                      <w:rFonts w:hint="eastAsia"/>
                      <w:szCs w:val="21"/>
                    </w:rPr>
                    <w:t>75t/a</w:t>
                  </w:r>
                </w:p>
              </w:tc>
              <w:tc>
                <w:tcPr>
                  <w:tcW w:w="1812" w:type="dxa"/>
                  <w:vMerge w:val="restart"/>
                  <w:vAlign w:val="center"/>
                </w:tcPr>
                <w:p>
                  <w:pPr>
                    <w:jc w:val="center"/>
                    <w:rPr>
                      <w:szCs w:val="21"/>
                    </w:rPr>
                  </w:pPr>
                  <w:r>
                    <w:rPr>
                      <w:szCs w:val="21"/>
                    </w:rPr>
                    <w:t>应当采取防扬散、防流失、防渗漏或者其他防止污染环境的措施,不得擅自倾倒、堆放、丢弃、遗撒固体废物；建立工业固体废物管理台账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shd w:val="clear" w:color="auto" w:fill="auto"/>
                  <w:vAlign w:val="center"/>
                </w:tcPr>
                <w:p>
                  <w:pPr>
                    <w:jc w:val="center"/>
                    <w:rPr>
                      <w:szCs w:val="21"/>
                    </w:rPr>
                  </w:pPr>
                  <w:r>
                    <w:rPr>
                      <w:szCs w:val="21"/>
                    </w:rPr>
                    <w:t>机加工</w:t>
                  </w:r>
                </w:p>
              </w:tc>
              <w:tc>
                <w:tcPr>
                  <w:tcW w:w="1065" w:type="dxa"/>
                  <w:shd w:val="clear" w:color="auto" w:fill="auto"/>
                  <w:vAlign w:val="center"/>
                </w:tcPr>
                <w:p>
                  <w:pPr>
                    <w:jc w:val="center"/>
                    <w:rPr>
                      <w:szCs w:val="21"/>
                    </w:rPr>
                  </w:pPr>
                  <w:r>
                    <w:rPr>
                      <w:szCs w:val="21"/>
                    </w:rPr>
                    <w:t>废铁屑及边角料</w:t>
                  </w:r>
                </w:p>
              </w:tc>
              <w:tc>
                <w:tcPr>
                  <w:tcW w:w="1571" w:type="dxa"/>
                  <w:vMerge w:val="continue"/>
                  <w:shd w:val="clear" w:color="auto" w:fill="auto"/>
                  <w:vAlign w:val="center"/>
                </w:tcPr>
                <w:p>
                  <w:pPr>
                    <w:jc w:val="center"/>
                    <w:rPr>
                      <w:szCs w:val="21"/>
                    </w:rPr>
                  </w:pPr>
                </w:p>
              </w:tc>
              <w:tc>
                <w:tcPr>
                  <w:tcW w:w="1101" w:type="dxa"/>
                  <w:shd w:val="clear" w:color="auto" w:fill="auto"/>
                  <w:vAlign w:val="center"/>
                </w:tcPr>
                <w:p>
                  <w:pPr>
                    <w:jc w:val="center"/>
                    <w:rPr>
                      <w:szCs w:val="21"/>
                    </w:rPr>
                  </w:pPr>
                  <w:r>
                    <w:rPr>
                      <w:szCs w:val="21"/>
                    </w:rPr>
                    <w:t>/</w:t>
                  </w:r>
                </w:p>
              </w:tc>
              <w:tc>
                <w:tcPr>
                  <w:tcW w:w="865" w:type="dxa"/>
                  <w:shd w:val="clear" w:color="auto" w:fill="auto"/>
                  <w:vAlign w:val="center"/>
                </w:tcPr>
                <w:p>
                  <w:pPr>
                    <w:jc w:val="center"/>
                    <w:rPr>
                      <w:szCs w:val="21"/>
                    </w:rPr>
                  </w:pPr>
                  <w:r>
                    <w:rPr>
                      <w:szCs w:val="21"/>
                    </w:rPr>
                    <w:t>/</w:t>
                  </w:r>
                </w:p>
              </w:tc>
              <w:tc>
                <w:tcPr>
                  <w:tcW w:w="1127" w:type="dxa"/>
                  <w:shd w:val="clear" w:color="auto" w:fill="auto"/>
                  <w:vAlign w:val="center"/>
                </w:tcPr>
                <w:p>
                  <w:pPr>
                    <w:jc w:val="center"/>
                    <w:rPr>
                      <w:szCs w:val="21"/>
                    </w:rPr>
                  </w:pPr>
                  <w:r>
                    <w:rPr>
                      <w:szCs w:val="21"/>
                    </w:rPr>
                    <w:t>/</w:t>
                  </w:r>
                </w:p>
              </w:tc>
              <w:tc>
                <w:tcPr>
                  <w:tcW w:w="1119" w:type="dxa"/>
                  <w:shd w:val="clear" w:color="auto" w:fill="auto"/>
                  <w:vAlign w:val="center"/>
                </w:tcPr>
                <w:p>
                  <w:pPr>
                    <w:jc w:val="center"/>
                    <w:rPr>
                      <w:szCs w:val="21"/>
                    </w:rPr>
                  </w:pPr>
                  <w:r>
                    <w:rPr>
                      <w:rFonts w:hint="eastAsia"/>
                      <w:szCs w:val="21"/>
                    </w:rPr>
                    <w:t>325t/a</w:t>
                  </w:r>
                </w:p>
              </w:tc>
              <w:tc>
                <w:tcPr>
                  <w:tcW w:w="868" w:type="dxa"/>
                  <w:vMerge w:val="continue"/>
                  <w:vAlign w:val="center"/>
                </w:tcPr>
                <w:p>
                  <w:pPr>
                    <w:jc w:val="center"/>
                    <w:rPr>
                      <w:szCs w:val="21"/>
                    </w:rPr>
                  </w:pPr>
                </w:p>
              </w:tc>
              <w:tc>
                <w:tcPr>
                  <w:tcW w:w="1299" w:type="dxa"/>
                  <w:vMerge w:val="continue"/>
                  <w:vAlign w:val="center"/>
                </w:tcPr>
                <w:p>
                  <w:pPr>
                    <w:jc w:val="center"/>
                    <w:rPr>
                      <w:szCs w:val="21"/>
                    </w:rPr>
                  </w:pPr>
                </w:p>
              </w:tc>
              <w:tc>
                <w:tcPr>
                  <w:tcW w:w="981" w:type="dxa"/>
                  <w:vAlign w:val="center"/>
                </w:tcPr>
                <w:p>
                  <w:pPr>
                    <w:jc w:val="center"/>
                    <w:rPr>
                      <w:szCs w:val="21"/>
                    </w:rPr>
                  </w:pPr>
                  <w:r>
                    <w:rPr>
                      <w:rFonts w:hint="eastAsia"/>
                      <w:szCs w:val="21"/>
                    </w:rPr>
                    <w:t>325t/a</w:t>
                  </w:r>
                </w:p>
              </w:tc>
              <w:tc>
                <w:tcPr>
                  <w:tcW w:w="1812"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shd w:val="clear" w:color="auto" w:fill="auto"/>
                  <w:vAlign w:val="center"/>
                </w:tcPr>
                <w:p>
                  <w:pPr>
                    <w:jc w:val="center"/>
                    <w:rPr>
                      <w:szCs w:val="21"/>
                    </w:rPr>
                  </w:pPr>
                  <w:r>
                    <w:rPr>
                      <w:szCs w:val="21"/>
                    </w:rPr>
                    <w:t>成品包装</w:t>
                  </w:r>
                </w:p>
              </w:tc>
              <w:tc>
                <w:tcPr>
                  <w:tcW w:w="1065" w:type="dxa"/>
                  <w:shd w:val="clear" w:color="auto" w:fill="auto"/>
                  <w:vAlign w:val="center"/>
                </w:tcPr>
                <w:p>
                  <w:pPr>
                    <w:jc w:val="center"/>
                    <w:rPr>
                      <w:szCs w:val="21"/>
                    </w:rPr>
                  </w:pPr>
                  <w:r>
                    <w:rPr>
                      <w:szCs w:val="21"/>
                    </w:rPr>
                    <w:t>废塑料</w:t>
                  </w:r>
                </w:p>
                <w:p>
                  <w:pPr>
                    <w:jc w:val="center"/>
                    <w:rPr>
                      <w:szCs w:val="21"/>
                    </w:rPr>
                  </w:pPr>
                  <w:r>
                    <w:rPr>
                      <w:szCs w:val="21"/>
                    </w:rPr>
                    <w:t>废木板</w:t>
                  </w:r>
                </w:p>
              </w:tc>
              <w:tc>
                <w:tcPr>
                  <w:tcW w:w="1571" w:type="dxa"/>
                  <w:vMerge w:val="continue"/>
                  <w:shd w:val="clear" w:color="auto" w:fill="auto"/>
                  <w:vAlign w:val="center"/>
                </w:tcPr>
                <w:p>
                  <w:pPr>
                    <w:jc w:val="center"/>
                    <w:rPr>
                      <w:szCs w:val="21"/>
                    </w:rPr>
                  </w:pPr>
                </w:p>
              </w:tc>
              <w:tc>
                <w:tcPr>
                  <w:tcW w:w="1101" w:type="dxa"/>
                  <w:shd w:val="clear" w:color="auto" w:fill="auto"/>
                  <w:vAlign w:val="center"/>
                </w:tcPr>
                <w:p>
                  <w:pPr>
                    <w:jc w:val="center"/>
                    <w:rPr>
                      <w:szCs w:val="21"/>
                    </w:rPr>
                  </w:pPr>
                </w:p>
              </w:tc>
              <w:tc>
                <w:tcPr>
                  <w:tcW w:w="865" w:type="dxa"/>
                  <w:shd w:val="clear" w:color="auto" w:fill="auto"/>
                  <w:vAlign w:val="center"/>
                </w:tcPr>
                <w:p>
                  <w:pPr>
                    <w:jc w:val="center"/>
                    <w:rPr>
                      <w:szCs w:val="21"/>
                    </w:rPr>
                  </w:pPr>
                </w:p>
              </w:tc>
              <w:tc>
                <w:tcPr>
                  <w:tcW w:w="1127" w:type="dxa"/>
                  <w:shd w:val="clear" w:color="auto" w:fill="auto"/>
                  <w:vAlign w:val="center"/>
                </w:tcPr>
                <w:p>
                  <w:pPr>
                    <w:jc w:val="center"/>
                    <w:rPr>
                      <w:szCs w:val="21"/>
                    </w:rPr>
                  </w:pPr>
                </w:p>
              </w:tc>
              <w:tc>
                <w:tcPr>
                  <w:tcW w:w="1119" w:type="dxa"/>
                  <w:shd w:val="clear" w:color="auto" w:fill="auto"/>
                  <w:vAlign w:val="center"/>
                </w:tcPr>
                <w:p>
                  <w:pPr>
                    <w:jc w:val="center"/>
                    <w:rPr>
                      <w:szCs w:val="21"/>
                    </w:rPr>
                  </w:pPr>
                  <w:r>
                    <w:rPr>
                      <w:rFonts w:hint="eastAsia"/>
                      <w:szCs w:val="21"/>
                    </w:rPr>
                    <w:t>1.0t/a</w:t>
                  </w:r>
                </w:p>
              </w:tc>
              <w:tc>
                <w:tcPr>
                  <w:tcW w:w="868" w:type="dxa"/>
                  <w:vMerge w:val="continue"/>
                  <w:vAlign w:val="center"/>
                </w:tcPr>
                <w:p>
                  <w:pPr>
                    <w:jc w:val="center"/>
                    <w:rPr>
                      <w:szCs w:val="21"/>
                    </w:rPr>
                  </w:pPr>
                </w:p>
              </w:tc>
              <w:tc>
                <w:tcPr>
                  <w:tcW w:w="1299" w:type="dxa"/>
                  <w:vAlign w:val="center"/>
                </w:tcPr>
                <w:p>
                  <w:pPr>
                    <w:jc w:val="center"/>
                    <w:rPr>
                      <w:szCs w:val="21"/>
                    </w:rPr>
                  </w:pPr>
                  <w:r>
                    <w:rPr>
                      <w:szCs w:val="21"/>
                    </w:rPr>
                    <w:t>集中收集后综合利用</w:t>
                  </w:r>
                </w:p>
              </w:tc>
              <w:tc>
                <w:tcPr>
                  <w:tcW w:w="981" w:type="dxa"/>
                  <w:vAlign w:val="center"/>
                </w:tcPr>
                <w:p>
                  <w:pPr>
                    <w:jc w:val="center"/>
                    <w:rPr>
                      <w:szCs w:val="21"/>
                    </w:rPr>
                  </w:pPr>
                  <w:r>
                    <w:rPr>
                      <w:rFonts w:hint="eastAsia"/>
                      <w:szCs w:val="21"/>
                    </w:rPr>
                    <w:t>1.0t/a</w:t>
                  </w:r>
                </w:p>
              </w:tc>
              <w:tc>
                <w:tcPr>
                  <w:tcW w:w="1812"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vMerge w:val="restart"/>
                  <w:shd w:val="clear" w:color="auto" w:fill="auto"/>
                  <w:vAlign w:val="center"/>
                </w:tcPr>
                <w:p>
                  <w:pPr>
                    <w:jc w:val="center"/>
                    <w:rPr>
                      <w:szCs w:val="21"/>
                    </w:rPr>
                  </w:pPr>
                  <w:r>
                    <w:rPr>
                      <w:rFonts w:hint="eastAsia"/>
                      <w:szCs w:val="21"/>
                    </w:rPr>
                    <w:t>设备</w:t>
                  </w:r>
                </w:p>
              </w:tc>
              <w:tc>
                <w:tcPr>
                  <w:tcW w:w="1065" w:type="dxa"/>
                  <w:shd w:val="clear" w:color="auto" w:fill="auto"/>
                  <w:vAlign w:val="center"/>
                </w:tcPr>
                <w:p>
                  <w:pPr>
                    <w:jc w:val="center"/>
                    <w:rPr>
                      <w:szCs w:val="21"/>
                    </w:rPr>
                  </w:pPr>
                  <w:r>
                    <w:rPr>
                      <w:szCs w:val="21"/>
                    </w:rPr>
                    <w:t>废机油</w:t>
                  </w:r>
                </w:p>
              </w:tc>
              <w:tc>
                <w:tcPr>
                  <w:tcW w:w="1571" w:type="dxa"/>
                  <w:shd w:val="clear" w:color="auto" w:fill="auto"/>
                  <w:vAlign w:val="center"/>
                </w:tcPr>
                <w:p>
                  <w:pPr>
                    <w:jc w:val="center"/>
                    <w:rPr>
                      <w:szCs w:val="21"/>
                    </w:rPr>
                  </w:pPr>
                  <w:r>
                    <w:rPr>
                      <w:szCs w:val="21"/>
                    </w:rPr>
                    <w:t>危险废物900-214-08</w:t>
                  </w:r>
                </w:p>
              </w:tc>
              <w:tc>
                <w:tcPr>
                  <w:tcW w:w="1101" w:type="dxa"/>
                  <w:shd w:val="clear" w:color="auto" w:fill="auto"/>
                  <w:vAlign w:val="center"/>
                </w:tcPr>
                <w:p>
                  <w:pPr>
                    <w:jc w:val="center"/>
                    <w:rPr>
                      <w:szCs w:val="21"/>
                    </w:rPr>
                  </w:pPr>
                  <w:r>
                    <w:rPr>
                      <w:szCs w:val="21"/>
                    </w:rPr>
                    <w:t>多环芳</w:t>
                  </w:r>
                </w:p>
                <w:p>
                  <w:pPr>
                    <w:jc w:val="center"/>
                    <w:rPr>
                      <w:szCs w:val="21"/>
                    </w:rPr>
                  </w:pPr>
                  <w:r>
                    <w:rPr>
                      <w:szCs w:val="21"/>
                    </w:rPr>
                    <w:t>香烃</w:t>
                  </w:r>
                </w:p>
              </w:tc>
              <w:tc>
                <w:tcPr>
                  <w:tcW w:w="865" w:type="dxa"/>
                  <w:shd w:val="clear" w:color="auto" w:fill="auto"/>
                  <w:vAlign w:val="center"/>
                </w:tcPr>
                <w:p>
                  <w:pPr>
                    <w:jc w:val="center"/>
                    <w:rPr>
                      <w:szCs w:val="21"/>
                    </w:rPr>
                  </w:pPr>
                  <w:r>
                    <w:rPr>
                      <w:szCs w:val="21"/>
                    </w:rPr>
                    <w:t>液体</w:t>
                  </w:r>
                </w:p>
              </w:tc>
              <w:tc>
                <w:tcPr>
                  <w:tcW w:w="1127" w:type="dxa"/>
                  <w:shd w:val="clear" w:color="auto" w:fill="auto"/>
                  <w:vAlign w:val="center"/>
                </w:tcPr>
                <w:p>
                  <w:pPr>
                    <w:jc w:val="center"/>
                    <w:rPr>
                      <w:szCs w:val="21"/>
                    </w:rPr>
                  </w:pPr>
                  <w:r>
                    <w:rPr>
                      <w:szCs w:val="21"/>
                    </w:rPr>
                    <w:t>T、I</w:t>
                  </w:r>
                </w:p>
              </w:tc>
              <w:tc>
                <w:tcPr>
                  <w:tcW w:w="1119" w:type="dxa"/>
                  <w:shd w:val="clear" w:color="auto" w:fill="auto"/>
                  <w:vAlign w:val="center"/>
                </w:tcPr>
                <w:p>
                  <w:pPr>
                    <w:jc w:val="center"/>
                    <w:rPr>
                      <w:szCs w:val="21"/>
                    </w:rPr>
                  </w:pPr>
                  <w:r>
                    <w:rPr>
                      <w:rFonts w:hint="eastAsia"/>
                      <w:szCs w:val="21"/>
                    </w:rPr>
                    <w:t>0.1t/a</w:t>
                  </w:r>
                </w:p>
              </w:tc>
              <w:tc>
                <w:tcPr>
                  <w:tcW w:w="868" w:type="dxa"/>
                  <w:vMerge w:val="restart"/>
                  <w:vAlign w:val="center"/>
                </w:tcPr>
                <w:p>
                  <w:pPr>
                    <w:jc w:val="center"/>
                    <w:rPr>
                      <w:szCs w:val="21"/>
                    </w:rPr>
                  </w:pPr>
                  <w:r>
                    <w:rPr>
                      <w:szCs w:val="21"/>
                    </w:rPr>
                    <w:t>10m</w:t>
                  </w:r>
                  <w:r>
                    <w:rPr>
                      <w:szCs w:val="21"/>
                      <w:vertAlign w:val="superscript"/>
                    </w:rPr>
                    <w:t>2</w:t>
                  </w:r>
                  <w:r>
                    <w:rPr>
                      <w:szCs w:val="21"/>
                    </w:rPr>
                    <w:t>危废暂存间</w:t>
                  </w:r>
                </w:p>
              </w:tc>
              <w:tc>
                <w:tcPr>
                  <w:tcW w:w="1299" w:type="dxa"/>
                  <w:vMerge w:val="restart"/>
                  <w:vAlign w:val="center"/>
                </w:tcPr>
                <w:p>
                  <w:pPr>
                    <w:jc w:val="center"/>
                    <w:rPr>
                      <w:szCs w:val="21"/>
                    </w:rPr>
                  </w:pPr>
                  <w:r>
                    <w:rPr>
                      <w:szCs w:val="21"/>
                    </w:rPr>
                    <w:t>交由有资质单位处理</w:t>
                  </w:r>
                </w:p>
              </w:tc>
              <w:tc>
                <w:tcPr>
                  <w:tcW w:w="981" w:type="dxa"/>
                  <w:vAlign w:val="center"/>
                </w:tcPr>
                <w:p>
                  <w:pPr>
                    <w:jc w:val="center"/>
                    <w:rPr>
                      <w:szCs w:val="21"/>
                    </w:rPr>
                  </w:pPr>
                  <w:r>
                    <w:rPr>
                      <w:rFonts w:hint="eastAsia"/>
                      <w:szCs w:val="21"/>
                    </w:rPr>
                    <w:t>0.1t/a</w:t>
                  </w:r>
                </w:p>
              </w:tc>
              <w:tc>
                <w:tcPr>
                  <w:tcW w:w="1812" w:type="dxa"/>
                  <w:vMerge w:val="restart"/>
                  <w:vAlign w:val="center"/>
                </w:tcPr>
                <w:p>
                  <w:pPr>
                    <w:jc w:val="center"/>
                    <w:rPr>
                      <w:szCs w:val="21"/>
                    </w:rPr>
                  </w:pPr>
                  <w:r>
                    <w:rPr>
                      <w:szCs w:val="21"/>
                    </w:rPr>
                    <w:t>防风、防雨、防晒、防渗漏（防渗性能不应低于6.0m厚渗透系数为1.0×10-7cm/s的粘土层的防渗性能）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vMerge w:val="continue"/>
                  <w:shd w:val="clear" w:color="auto" w:fill="auto"/>
                  <w:vAlign w:val="center"/>
                </w:tcPr>
                <w:p>
                  <w:pPr>
                    <w:jc w:val="center"/>
                    <w:rPr>
                      <w:szCs w:val="21"/>
                    </w:rPr>
                  </w:pPr>
                </w:p>
              </w:tc>
              <w:tc>
                <w:tcPr>
                  <w:tcW w:w="1065" w:type="dxa"/>
                  <w:shd w:val="clear" w:color="auto" w:fill="auto"/>
                  <w:vAlign w:val="center"/>
                </w:tcPr>
                <w:p>
                  <w:pPr>
                    <w:jc w:val="center"/>
                    <w:rPr>
                      <w:szCs w:val="21"/>
                    </w:rPr>
                  </w:pPr>
                  <w:r>
                    <w:rPr>
                      <w:szCs w:val="21"/>
                    </w:rPr>
                    <w:t>废乳化液</w:t>
                  </w:r>
                </w:p>
              </w:tc>
              <w:tc>
                <w:tcPr>
                  <w:tcW w:w="1571" w:type="dxa"/>
                  <w:shd w:val="clear" w:color="auto" w:fill="auto"/>
                  <w:vAlign w:val="center"/>
                </w:tcPr>
                <w:p>
                  <w:pPr>
                    <w:jc w:val="center"/>
                    <w:rPr>
                      <w:szCs w:val="21"/>
                    </w:rPr>
                  </w:pPr>
                  <w:r>
                    <w:rPr>
                      <w:szCs w:val="21"/>
                    </w:rPr>
                    <w:t>危险废物</w:t>
                  </w:r>
                </w:p>
                <w:p>
                  <w:pPr>
                    <w:jc w:val="center"/>
                    <w:rPr>
                      <w:szCs w:val="21"/>
                    </w:rPr>
                  </w:pPr>
                  <w:r>
                    <w:rPr>
                      <w:szCs w:val="21"/>
                    </w:rPr>
                    <w:t>900-007-09</w:t>
                  </w:r>
                </w:p>
              </w:tc>
              <w:tc>
                <w:tcPr>
                  <w:tcW w:w="1101" w:type="dxa"/>
                  <w:shd w:val="clear" w:color="auto" w:fill="auto"/>
                  <w:vAlign w:val="center"/>
                </w:tcPr>
                <w:p>
                  <w:pPr>
                    <w:jc w:val="center"/>
                    <w:rPr>
                      <w:szCs w:val="21"/>
                    </w:rPr>
                  </w:pPr>
                  <w:r>
                    <w:rPr>
                      <w:szCs w:val="21"/>
                    </w:rPr>
                    <w:t>多环芳</w:t>
                  </w:r>
                </w:p>
                <w:p>
                  <w:pPr>
                    <w:jc w:val="center"/>
                    <w:rPr>
                      <w:szCs w:val="21"/>
                    </w:rPr>
                  </w:pPr>
                  <w:r>
                    <w:rPr>
                      <w:szCs w:val="21"/>
                    </w:rPr>
                    <w:t>香烃</w:t>
                  </w:r>
                </w:p>
              </w:tc>
              <w:tc>
                <w:tcPr>
                  <w:tcW w:w="865" w:type="dxa"/>
                  <w:shd w:val="clear" w:color="auto" w:fill="auto"/>
                  <w:vAlign w:val="center"/>
                </w:tcPr>
                <w:p>
                  <w:pPr>
                    <w:jc w:val="center"/>
                    <w:rPr>
                      <w:szCs w:val="21"/>
                    </w:rPr>
                  </w:pPr>
                  <w:r>
                    <w:rPr>
                      <w:szCs w:val="21"/>
                    </w:rPr>
                    <w:t>液体</w:t>
                  </w:r>
                </w:p>
              </w:tc>
              <w:tc>
                <w:tcPr>
                  <w:tcW w:w="1127" w:type="dxa"/>
                  <w:shd w:val="clear" w:color="auto" w:fill="auto"/>
                  <w:vAlign w:val="center"/>
                </w:tcPr>
                <w:p>
                  <w:pPr>
                    <w:jc w:val="center"/>
                    <w:rPr>
                      <w:szCs w:val="21"/>
                    </w:rPr>
                  </w:pPr>
                  <w:r>
                    <w:rPr>
                      <w:szCs w:val="21"/>
                    </w:rPr>
                    <w:t>T</w:t>
                  </w:r>
                </w:p>
              </w:tc>
              <w:tc>
                <w:tcPr>
                  <w:tcW w:w="1119" w:type="dxa"/>
                  <w:shd w:val="clear" w:color="auto" w:fill="auto"/>
                  <w:vAlign w:val="center"/>
                </w:tcPr>
                <w:p>
                  <w:pPr>
                    <w:jc w:val="center"/>
                    <w:rPr>
                      <w:szCs w:val="21"/>
                    </w:rPr>
                  </w:pPr>
                  <w:r>
                    <w:rPr>
                      <w:rFonts w:hint="eastAsia"/>
                      <w:szCs w:val="21"/>
                    </w:rPr>
                    <w:t>0.05t/a</w:t>
                  </w:r>
                </w:p>
              </w:tc>
              <w:tc>
                <w:tcPr>
                  <w:tcW w:w="868" w:type="dxa"/>
                  <w:vMerge w:val="continue"/>
                  <w:vAlign w:val="center"/>
                </w:tcPr>
                <w:p>
                  <w:pPr>
                    <w:jc w:val="center"/>
                    <w:rPr>
                      <w:szCs w:val="21"/>
                    </w:rPr>
                  </w:pPr>
                </w:p>
              </w:tc>
              <w:tc>
                <w:tcPr>
                  <w:tcW w:w="1299" w:type="dxa"/>
                  <w:vMerge w:val="continue"/>
                  <w:vAlign w:val="center"/>
                </w:tcPr>
                <w:p>
                  <w:pPr>
                    <w:jc w:val="center"/>
                    <w:rPr>
                      <w:szCs w:val="21"/>
                    </w:rPr>
                  </w:pPr>
                </w:p>
              </w:tc>
              <w:tc>
                <w:tcPr>
                  <w:tcW w:w="981" w:type="dxa"/>
                  <w:vAlign w:val="center"/>
                </w:tcPr>
                <w:p>
                  <w:pPr>
                    <w:jc w:val="center"/>
                    <w:rPr>
                      <w:szCs w:val="21"/>
                    </w:rPr>
                  </w:pPr>
                  <w:r>
                    <w:rPr>
                      <w:rFonts w:hint="eastAsia"/>
                      <w:szCs w:val="21"/>
                    </w:rPr>
                    <w:t>0.05t/a</w:t>
                  </w:r>
                </w:p>
              </w:tc>
              <w:tc>
                <w:tcPr>
                  <w:tcW w:w="1812"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8" w:hRule="atLeast"/>
              </w:trPr>
              <w:tc>
                <w:tcPr>
                  <w:tcW w:w="12872" w:type="dxa"/>
                  <w:gridSpan w:val="11"/>
                  <w:shd w:val="clear" w:color="auto" w:fill="auto"/>
                  <w:vAlign w:val="center"/>
                </w:tcPr>
                <w:p>
                  <w:pPr>
                    <w:jc w:val="center"/>
                    <w:rPr>
                      <w:b/>
                      <w:bCs/>
                      <w:szCs w:val="21"/>
                    </w:rPr>
                  </w:pPr>
                  <w:r>
                    <w:rPr>
                      <w:b/>
                      <w:bCs/>
                      <w:szCs w:val="21"/>
                    </w:rPr>
                    <w:t>二期工程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shd w:val="clear" w:color="auto" w:fill="auto"/>
                  <w:vAlign w:val="center"/>
                </w:tcPr>
                <w:p>
                  <w:pPr>
                    <w:jc w:val="center"/>
                    <w:rPr>
                      <w:b/>
                      <w:bCs/>
                      <w:szCs w:val="21"/>
                    </w:rPr>
                  </w:pPr>
                  <w:r>
                    <w:rPr>
                      <w:b/>
                      <w:bCs/>
                      <w:szCs w:val="21"/>
                    </w:rPr>
                    <w:t>产生环节</w:t>
                  </w:r>
                </w:p>
              </w:tc>
              <w:tc>
                <w:tcPr>
                  <w:tcW w:w="1065" w:type="dxa"/>
                  <w:shd w:val="clear" w:color="auto" w:fill="auto"/>
                  <w:vAlign w:val="center"/>
                </w:tcPr>
                <w:p>
                  <w:pPr>
                    <w:jc w:val="center"/>
                    <w:rPr>
                      <w:b/>
                      <w:bCs/>
                      <w:szCs w:val="21"/>
                    </w:rPr>
                  </w:pPr>
                  <w:r>
                    <w:rPr>
                      <w:b/>
                      <w:bCs/>
                      <w:szCs w:val="21"/>
                    </w:rPr>
                    <w:t>名称</w:t>
                  </w:r>
                </w:p>
              </w:tc>
              <w:tc>
                <w:tcPr>
                  <w:tcW w:w="1571" w:type="dxa"/>
                  <w:shd w:val="clear" w:color="auto" w:fill="auto"/>
                  <w:vAlign w:val="center"/>
                </w:tcPr>
                <w:p>
                  <w:pPr>
                    <w:jc w:val="center"/>
                    <w:rPr>
                      <w:b/>
                      <w:bCs/>
                      <w:szCs w:val="21"/>
                    </w:rPr>
                  </w:pPr>
                  <w:r>
                    <w:rPr>
                      <w:b/>
                      <w:bCs/>
                      <w:szCs w:val="21"/>
                    </w:rPr>
                    <w:t>属性</w:t>
                  </w:r>
                </w:p>
              </w:tc>
              <w:tc>
                <w:tcPr>
                  <w:tcW w:w="1101" w:type="dxa"/>
                  <w:shd w:val="clear" w:color="auto" w:fill="auto"/>
                  <w:vAlign w:val="center"/>
                </w:tcPr>
                <w:p>
                  <w:pPr>
                    <w:jc w:val="center"/>
                    <w:rPr>
                      <w:b/>
                      <w:bCs/>
                      <w:szCs w:val="21"/>
                    </w:rPr>
                  </w:pPr>
                  <w:r>
                    <w:rPr>
                      <w:b/>
                      <w:bCs/>
                      <w:szCs w:val="21"/>
                    </w:rPr>
                    <w:t>主要有毒有害物质名称</w:t>
                  </w:r>
                </w:p>
              </w:tc>
              <w:tc>
                <w:tcPr>
                  <w:tcW w:w="865" w:type="dxa"/>
                  <w:shd w:val="clear" w:color="auto" w:fill="auto"/>
                  <w:vAlign w:val="center"/>
                </w:tcPr>
                <w:p>
                  <w:pPr>
                    <w:jc w:val="center"/>
                    <w:rPr>
                      <w:b/>
                      <w:bCs/>
                      <w:szCs w:val="21"/>
                    </w:rPr>
                  </w:pPr>
                  <w:r>
                    <w:rPr>
                      <w:b/>
                      <w:bCs/>
                      <w:szCs w:val="21"/>
                    </w:rPr>
                    <w:t>物理</w:t>
                  </w:r>
                </w:p>
                <w:p>
                  <w:pPr>
                    <w:jc w:val="center"/>
                    <w:rPr>
                      <w:b/>
                      <w:bCs/>
                      <w:szCs w:val="21"/>
                    </w:rPr>
                  </w:pPr>
                  <w:r>
                    <w:rPr>
                      <w:b/>
                      <w:bCs/>
                      <w:szCs w:val="21"/>
                    </w:rPr>
                    <w:t>性状</w:t>
                  </w:r>
                </w:p>
              </w:tc>
              <w:tc>
                <w:tcPr>
                  <w:tcW w:w="1127" w:type="dxa"/>
                  <w:shd w:val="clear" w:color="auto" w:fill="auto"/>
                  <w:vAlign w:val="center"/>
                </w:tcPr>
                <w:p>
                  <w:pPr>
                    <w:jc w:val="center"/>
                    <w:rPr>
                      <w:b/>
                      <w:bCs/>
                      <w:szCs w:val="21"/>
                    </w:rPr>
                  </w:pPr>
                  <w:r>
                    <w:rPr>
                      <w:b/>
                      <w:bCs/>
                      <w:szCs w:val="21"/>
                    </w:rPr>
                    <w:t>环境危险特性</w:t>
                  </w:r>
                </w:p>
              </w:tc>
              <w:tc>
                <w:tcPr>
                  <w:tcW w:w="1119" w:type="dxa"/>
                  <w:shd w:val="clear" w:color="auto" w:fill="auto"/>
                  <w:vAlign w:val="center"/>
                </w:tcPr>
                <w:p>
                  <w:pPr>
                    <w:jc w:val="center"/>
                    <w:rPr>
                      <w:b/>
                      <w:bCs/>
                      <w:szCs w:val="21"/>
                    </w:rPr>
                  </w:pPr>
                  <w:r>
                    <w:rPr>
                      <w:b/>
                      <w:bCs/>
                      <w:szCs w:val="21"/>
                    </w:rPr>
                    <w:t>年度</w:t>
                  </w:r>
                </w:p>
                <w:p>
                  <w:pPr>
                    <w:jc w:val="center"/>
                    <w:rPr>
                      <w:b/>
                      <w:bCs/>
                      <w:szCs w:val="21"/>
                    </w:rPr>
                  </w:pPr>
                  <w:r>
                    <w:rPr>
                      <w:b/>
                      <w:bCs/>
                      <w:szCs w:val="21"/>
                    </w:rPr>
                    <w:t>产生量</w:t>
                  </w:r>
                </w:p>
              </w:tc>
              <w:tc>
                <w:tcPr>
                  <w:tcW w:w="868" w:type="dxa"/>
                  <w:vAlign w:val="center"/>
                </w:tcPr>
                <w:p>
                  <w:pPr>
                    <w:jc w:val="center"/>
                    <w:rPr>
                      <w:b/>
                      <w:bCs/>
                      <w:szCs w:val="21"/>
                    </w:rPr>
                  </w:pPr>
                  <w:r>
                    <w:rPr>
                      <w:b/>
                      <w:bCs/>
                      <w:szCs w:val="21"/>
                    </w:rPr>
                    <w:t>贮存方式</w:t>
                  </w:r>
                </w:p>
              </w:tc>
              <w:tc>
                <w:tcPr>
                  <w:tcW w:w="1299" w:type="dxa"/>
                  <w:vAlign w:val="center"/>
                </w:tcPr>
                <w:p>
                  <w:pPr>
                    <w:jc w:val="center"/>
                    <w:rPr>
                      <w:b/>
                      <w:bCs/>
                      <w:szCs w:val="21"/>
                    </w:rPr>
                  </w:pPr>
                  <w:r>
                    <w:rPr>
                      <w:b/>
                      <w:bCs/>
                      <w:szCs w:val="21"/>
                    </w:rPr>
                    <w:t>利用处置方式和去向</w:t>
                  </w:r>
                </w:p>
              </w:tc>
              <w:tc>
                <w:tcPr>
                  <w:tcW w:w="981" w:type="dxa"/>
                  <w:vAlign w:val="center"/>
                </w:tcPr>
                <w:p>
                  <w:pPr>
                    <w:jc w:val="center"/>
                    <w:rPr>
                      <w:b/>
                      <w:bCs/>
                      <w:szCs w:val="21"/>
                    </w:rPr>
                  </w:pPr>
                  <w:r>
                    <w:rPr>
                      <w:b/>
                      <w:bCs/>
                      <w:szCs w:val="21"/>
                    </w:rPr>
                    <w:t>利用或处置量</w:t>
                  </w:r>
                </w:p>
              </w:tc>
              <w:tc>
                <w:tcPr>
                  <w:tcW w:w="1812" w:type="dxa"/>
                  <w:vAlign w:val="center"/>
                </w:tcPr>
                <w:p>
                  <w:pPr>
                    <w:jc w:val="center"/>
                    <w:rPr>
                      <w:b/>
                      <w:bCs/>
                      <w:szCs w:val="21"/>
                    </w:rPr>
                  </w:pPr>
                  <w:r>
                    <w:rPr>
                      <w:b/>
                      <w:bCs/>
                      <w:szCs w:val="21"/>
                    </w:rPr>
                    <w:t>环境管理要求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071" w:hRule="atLeast"/>
              </w:trPr>
              <w:tc>
                <w:tcPr>
                  <w:tcW w:w="1064" w:type="dxa"/>
                  <w:shd w:val="clear" w:color="auto" w:fill="auto"/>
                  <w:vAlign w:val="center"/>
                </w:tcPr>
                <w:p>
                  <w:pPr>
                    <w:jc w:val="center"/>
                    <w:rPr>
                      <w:szCs w:val="21"/>
                    </w:rPr>
                  </w:pPr>
                  <w:r>
                    <w:rPr>
                      <w:szCs w:val="21"/>
                    </w:rPr>
                    <w:t>员工生活</w:t>
                  </w:r>
                </w:p>
              </w:tc>
              <w:tc>
                <w:tcPr>
                  <w:tcW w:w="1065" w:type="dxa"/>
                  <w:shd w:val="clear" w:color="auto" w:fill="auto"/>
                  <w:vAlign w:val="center"/>
                </w:tcPr>
                <w:p>
                  <w:pPr>
                    <w:jc w:val="center"/>
                    <w:rPr>
                      <w:szCs w:val="21"/>
                    </w:rPr>
                  </w:pPr>
                  <w:r>
                    <w:rPr>
                      <w:szCs w:val="21"/>
                    </w:rPr>
                    <w:t>生活垃圾</w:t>
                  </w:r>
                </w:p>
              </w:tc>
              <w:tc>
                <w:tcPr>
                  <w:tcW w:w="1571" w:type="dxa"/>
                  <w:shd w:val="clear" w:color="auto" w:fill="auto"/>
                  <w:vAlign w:val="center"/>
                </w:tcPr>
                <w:p>
                  <w:pPr>
                    <w:jc w:val="center"/>
                    <w:rPr>
                      <w:szCs w:val="21"/>
                    </w:rPr>
                  </w:pPr>
                  <w:r>
                    <w:rPr>
                      <w:szCs w:val="21"/>
                    </w:rPr>
                    <w:t>/</w:t>
                  </w:r>
                </w:p>
              </w:tc>
              <w:tc>
                <w:tcPr>
                  <w:tcW w:w="1101" w:type="dxa"/>
                  <w:shd w:val="clear" w:color="auto" w:fill="auto"/>
                  <w:vAlign w:val="center"/>
                </w:tcPr>
                <w:p>
                  <w:pPr>
                    <w:jc w:val="center"/>
                    <w:rPr>
                      <w:szCs w:val="21"/>
                    </w:rPr>
                  </w:pPr>
                  <w:r>
                    <w:rPr>
                      <w:szCs w:val="21"/>
                    </w:rPr>
                    <w:t>/</w:t>
                  </w:r>
                </w:p>
              </w:tc>
              <w:tc>
                <w:tcPr>
                  <w:tcW w:w="865" w:type="dxa"/>
                  <w:shd w:val="clear" w:color="auto" w:fill="auto"/>
                  <w:vAlign w:val="center"/>
                </w:tcPr>
                <w:p>
                  <w:pPr>
                    <w:jc w:val="center"/>
                    <w:rPr>
                      <w:szCs w:val="21"/>
                    </w:rPr>
                  </w:pPr>
                  <w:r>
                    <w:rPr>
                      <w:szCs w:val="21"/>
                    </w:rPr>
                    <w:t>/</w:t>
                  </w:r>
                </w:p>
              </w:tc>
              <w:tc>
                <w:tcPr>
                  <w:tcW w:w="1127" w:type="dxa"/>
                  <w:shd w:val="clear" w:color="auto" w:fill="auto"/>
                  <w:vAlign w:val="center"/>
                </w:tcPr>
                <w:p>
                  <w:pPr>
                    <w:jc w:val="center"/>
                    <w:rPr>
                      <w:szCs w:val="21"/>
                    </w:rPr>
                  </w:pPr>
                  <w:r>
                    <w:rPr>
                      <w:szCs w:val="21"/>
                    </w:rPr>
                    <w:t>/</w:t>
                  </w:r>
                </w:p>
              </w:tc>
              <w:tc>
                <w:tcPr>
                  <w:tcW w:w="1119" w:type="dxa"/>
                  <w:shd w:val="clear" w:color="auto" w:fill="auto"/>
                  <w:vAlign w:val="center"/>
                </w:tcPr>
                <w:p>
                  <w:pPr>
                    <w:jc w:val="center"/>
                    <w:rPr>
                      <w:szCs w:val="21"/>
                    </w:rPr>
                  </w:pPr>
                  <w:r>
                    <w:rPr>
                      <w:rFonts w:hint="eastAsia"/>
                      <w:szCs w:val="21"/>
                    </w:rPr>
                    <w:t>2.25t/a</w:t>
                  </w:r>
                </w:p>
              </w:tc>
              <w:tc>
                <w:tcPr>
                  <w:tcW w:w="868" w:type="dxa"/>
                  <w:vAlign w:val="center"/>
                </w:tcPr>
                <w:p>
                  <w:pPr>
                    <w:jc w:val="center"/>
                    <w:rPr>
                      <w:szCs w:val="21"/>
                    </w:rPr>
                  </w:pPr>
                  <w:r>
                    <w:rPr>
                      <w:szCs w:val="21"/>
                    </w:rPr>
                    <w:t>存放于垃圾桶内</w:t>
                  </w:r>
                </w:p>
              </w:tc>
              <w:tc>
                <w:tcPr>
                  <w:tcW w:w="1299" w:type="dxa"/>
                  <w:vAlign w:val="center"/>
                </w:tcPr>
                <w:p>
                  <w:pPr>
                    <w:jc w:val="center"/>
                    <w:rPr>
                      <w:szCs w:val="21"/>
                    </w:rPr>
                  </w:pPr>
                  <w:r>
                    <w:rPr>
                      <w:szCs w:val="21"/>
                    </w:rPr>
                    <w:t>环卫部门</w:t>
                  </w:r>
                </w:p>
                <w:p>
                  <w:pPr>
                    <w:jc w:val="center"/>
                    <w:rPr>
                      <w:szCs w:val="21"/>
                    </w:rPr>
                  </w:pPr>
                  <w:r>
                    <w:rPr>
                      <w:szCs w:val="21"/>
                    </w:rPr>
                    <w:t>处理</w:t>
                  </w:r>
                </w:p>
              </w:tc>
              <w:tc>
                <w:tcPr>
                  <w:tcW w:w="981" w:type="dxa"/>
                  <w:vAlign w:val="center"/>
                </w:tcPr>
                <w:p>
                  <w:pPr>
                    <w:jc w:val="center"/>
                    <w:rPr>
                      <w:szCs w:val="21"/>
                    </w:rPr>
                  </w:pPr>
                  <w:r>
                    <w:rPr>
                      <w:rFonts w:hint="eastAsia"/>
                      <w:szCs w:val="21"/>
                    </w:rPr>
                    <w:t>3.0t/a</w:t>
                  </w:r>
                </w:p>
              </w:tc>
              <w:tc>
                <w:tcPr>
                  <w:tcW w:w="1812" w:type="dxa"/>
                  <w:vAlign w:val="center"/>
                </w:tcPr>
                <w:p>
                  <w:pPr>
                    <w:jc w:val="center"/>
                    <w:rPr>
                      <w:szCs w:val="21"/>
                    </w:rPr>
                  </w:pPr>
                  <w:r>
                    <w:rPr>
                      <w:szCs w:val="21"/>
                    </w:rPr>
                    <w:t>禁止随意倾倒，垃圾分类，由环卫部门处理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shd w:val="clear" w:color="auto" w:fill="auto"/>
                  <w:vAlign w:val="center"/>
                </w:tcPr>
                <w:p>
                  <w:pPr>
                    <w:jc w:val="center"/>
                    <w:rPr>
                      <w:szCs w:val="21"/>
                    </w:rPr>
                  </w:pPr>
                  <w:r>
                    <w:rPr>
                      <w:szCs w:val="21"/>
                    </w:rPr>
                    <w:t>加热锻压</w:t>
                  </w:r>
                </w:p>
              </w:tc>
              <w:tc>
                <w:tcPr>
                  <w:tcW w:w="1065" w:type="dxa"/>
                  <w:shd w:val="clear" w:color="auto" w:fill="auto"/>
                  <w:vAlign w:val="center"/>
                </w:tcPr>
                <w:p>
                  <w:pPr>
                    <w:jc w:val="center"/>
                    <w:rPr>
                      <w:szCs w:val="21"/>
                    </w:rPr>
                  </w:pPr>
                  <w:r>
                    <w:rPr>
                      <w:szCs w:val="21"/>
                    </w:rPr>
                    <w:t>氧化铁皮</w:t>
                  </w:r>
                </w:p>
              </w:tc>
              <w:tc>
                <w:tcPr>
                  <w:tcW w:w="1571" w:type="dxa"/>
                  <w:vMerge w:val="restart"/>
                  <w:shd w:val="clear" w:color="auto" w:fill="auto"/>
                  <w:vAlign w:val="center"/>
                </w:tcPr>
                <w:p>
                  <w:pPr>
                    <w:jc w:val="center"/>
                    <w:rPr>
                      <w:szCs w:val="21"/>
                    </w:rPr>
                  </w:pPr>
                  <w:r>
                    <w:rPr>
                      <w:szCs w:val="21"/>
                    </w:rPr>
                    <w:t>一般工业</w:t>
                  </w:r>
                </w:p>
                <w:p>
                  <w:pPr>
                    <w:jc w:val="center"/>
                    <w:rPr>
                      <w:szCs w:val="21"/>
                    </w:rPr>
                  </w:pPr>
                  <w:r>
                    <w:rPr>
                      <w:szCs w:val="21"/>
                    </w:rPr>
                    <w:t>固体废物</w:t>
                  </w:r>
                </w:p>
              </w:tc>
              <w:tc>
                <w:tcPr>
                  <w:tcW w:w="1101" w:type="dxa"/>
                  <w:shd w:val="clear" w:color="auto" w:fill="auto"/>
                  <w:vAlign w:val="center"/>
                </w:tcPr>
                <w:p>
                  <w:pPr>
                    <w:jc w:val="center"/>
                    <w:rPr>
                      <w:szCs w:val="21"/>
                    </w:rPr>
                  </w:pPr>
                  <w:r>
                    <w:rPr>
                      <w:szCs w:val="21"/>
                    </w:rPr>
                    <w:t>/</w:t>
                  </w:r>
                </w:p>
              </w:tc>
              <w:tc>
                <w:tcPr>
                  <w:tcW w:w="865" w:type="dxa"/>
                  <w:shd w:val="clear" w:color="auto" w:fill="auto"/>
                  <w:vAlign w:val="center"/>
                </w:tcPr>
                <w:p>
                  <w:pPr>
                    <w:jc w:val="center"/>
                    <w:rPr>
                      <w:szCs w:val="21"/>
                    </w:rPr>
                  </w:pPr>
                  <w:r>
                    <w:rPr>
                      <w:szCs w:val="21"/>
                    </w:rPr>
                    <w:t>/</w:t>
                  </w:r>
                </w:p>
              </w:tc>
              <w:tc>
                <w:tcPr>
                  <w:tcW w:w="1127" w:type="dxa"/>
                  <w:shd w:val="clear" w:color="auto" w:fill="auto"/>
                  <w:vAlign w:val="center"/>
                </w:tcPr>
                <w:p>
                  <w:pPr>
                    <w:jc w:val="center"/>
                    <w:rPr>
                      <w:szCs w:val="21"/>
                    </w:rPr>
                  </w:pPr>
                  <w:r>
                    <w:rPr>
                      <w:szCs w:val="21"/>
                    </w:rPr>
                    <w:t>/</w:t>
                  </w:r>
                </w:p>
              </w:tc>
              <w:tc>
                <w:tcPr>
                  <w:tcW w:w="1119" w:type="dxa"/>
                  <w:shd w:val="clear" w:color="auto" w:fill="auto"/>
                  <w:vAlign w:val="center"/>
                </w:tcPr>
                <w:p>
                  <w:pPr>
                    <w:jc w:val="center"/>
                    <w:rPr>
                      <w:szCs w:val="21"/>
                    </w:rPr>
                  </w:pPr>
                  <w:r>
                    <w:rPr>
                      <w:rFonts w:hint="eastAsia"/>
                      <w:szCs w:val="21"/>
                    </w:rPr>
                    <w:t>150t/a</w:t>
                  </w:r>
                </w:p>
              </w:tc>
              <w:tc>
                <w:tcPr>
                  <w:tcW w:w="868" w:type="dxa"/>
                  <w:vMerge w:val="restart"/>
                  <w:vAlign w:val="center"/>
                </w:tcPr>
                <w:p>
                  <w:pPr>
                    <w:jc w:val="center"/>
                    <w:rPr>
                      <w:szCs w:val="21"/>
                    </w:rPr>
                  </w:pPr>
                  <w:r>
                    <w:rPr>
                      <w:szCs w:val="21"/>
                    </w:rPr>
                    <w:t>暂存于一般固体废物暂存</w:t>
                  </w:r>
                  <w:r>
                    <w:rPr>
                      <w:rFonts w:hint="eastAsia"/>
                      <w:szCs w:val="21"/>
                    </w:rPr>
                    <w:t>间</w:t>
                  </w:r>
                </w:p>
              </w:tc>
              <w:tc>
                <w:tcPr>
                  <w:tcW w:w="1299" w:type="dxa"/>
                  <w:vMerge w:val="restart"/>
                  <w:vAlign w:val="center"/>
                </w:tcPr>
                <w:p>
                  <w:pPr>
                    <w:jc w:val="center"/>
                    <w:rPr>
                      <w:szCs w:val="21"/>
                    </w:rPr>
                  </w:pPr>
                  <w:r>
                    <w:rPr>
                      <w:szCs w:val="21"/>
                    </w:rPr>
                    <w:t>废品回收站</w:t>
                  </w:r>
                </w:p>
              </w:tc>
              <w:tc>
                <w:tcPr>
                  <w:tcW w:w="981" w:type="dxa"/>
                  <w:vAlign w:val="center"/>
                </w:tcPr>
                <w:p>
                  <w:pPr>
                    <w:jc w:val="center"/>
                    <w:rPr>
                      <w:szCs w:val="21"/>
                    </w:rPr>
                  </w:pPr>
                  <w:r>
                    <w:rPr>
                      <w:rFonts w:hint="eastAsia"/>
                      <w:szCs w:val="21"/>
                    </w:rPr>
                    <w:t>150t/a</w:t>
                  </w:r>
                </w:p>
              </w:tc>
              <w:tc>
                <w:tcPr>
                  <w:tcW w:w="1812" w:type="dxa"/>
                  <w:vMerge w:val="restart"/>
                  <w:vAlign w:val="center"/>
                </w:tcPr>
                <w:p>
                  <w:pPr>
                    <w:jc w:val="center"/>
                    <w:rPr>
                      <w:szCs w:val="21"/>
                    </w:rPr>
                  </w:pPr>
                  <w:r>
                    <w:rPr>
                      <w:szCs w:val="21"/>
                    </w:rPr>
                    <w:t>应当采取防扬散、防流失、防渗漏或者其他防止污染环境的措施,不得擅自倾倒、堆放、丢弃、遗撒固体废物；建立工业固体废物管理台账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shd w:val="clear" w:color="auto" w:fill="auto"/>
                  <w:vAlign w:val="center"/>
                </w:tcPr>
                <w:p>
                  <w:pPr>
                    <w:jc w:val="center"/>
                    <w:rPr>
                      <w:szCs w:val="21"/>
                    </w:rPr>
                  </w:pPr>
                  <w:r>
                    <w:rPr>
                      <w:szCs w:val="21"/>
                    </w:rPr>
                    <w:t>机加工</w:t>
                  </w:r>
                </w:p>
              </w:tc>
              <w:tc>
                <w:tcPr>
                  <w:tcW w:w="1065" w:type="dxa"/>
                  <w:shd w:val="clear" w:color="auto" w:fill="auto"/>
                  <w:vAlign w:val="center"/>
                </w:tcPr>
                <w:p>
                  <w:pPr>
                    <w:jc w:val="center"/>
                    <w:rPr>
                      <w:szCs w:val="21"/>
                    </w:rPr>
                  </w:pPr>
                  <w:r>
                    <w:rPr>
                      <w:szCs w:val="21"/>
                    </w:rPr>
                    <w:t>废铁屑及边角料</w:t>
                  </w:r>
                </w:p>
              </w:tc>
              <w:tc>
                <w:tcPr>
                  <w:tcW w:w="1571" w:type="dxa"/>
                  <w:vMerge w:val="continue"/>
                  <w:shd w:val="clear" w:color="auto" w:fill="auto"/>
                  <w:vAlign w:val="center"/>
                </w:tcPr>
                <w:p>
                  <w:pPr>
                    <w:jc w:val="center"/>
                    <w:rPr>
                      <w:szCs w:val="21"/>
                    </w:rPr>
                  </w:pPr>
                </w:p>
              </w:tc>
              <w:tc>
                <w:tcPr>
                  <w:tcW w:w="1101" w:type="dxa"/>
                  <w:shd w:val="clear" w:color="auto" w:fill="auto"/>
                  <w:vAlign w:val="center"/>
                </w:tcPr>
                <w:p>
                  <w:pPr>
                    <w:jc w:val="center"/>
                    <w:rPr>
                      <w:szCs w:val="21"/>
                    </w:rPr>
                  </w:pPr>
                  <w:r>
                    <w:rPr>
                      <w:szCs w:val="21"/>
                    </w:rPr>
                    <w:t>/</w:t>
                  </w:r>
                </w:p>
              </w:tc>
              <w:tc>
                <w:tcPr>
                  <w:tcW w:w="865" w:type="dxa"/>
                  <w:shd w:val="clear" w:color="auto" w:fill="auto"/>
                  <w:vAlign w:val="center"/>
                </w:tcPr>
                <w:p>
                  <w:pPr>
                    <w:jc w:val="center"/>
                    <w:rPr>
                      <w:szCs w:val="21"/>
                    </w:rPr>
                  </w:pPr>
                  <w:r>
                    <w:rPr>
                      <w:szCs w:val="21"/>
                    </w:rPr>
                    <w:t>/</w:t>
                  </w:r>
                </w:p>
              </w:tc>
              <w:tc>
                <w:tcPr>
                  <w:tcW w:w="1127" w:type="dxa"/>
                  <w:shd w:val="clear" w:color="auto" w:fill="auto"/>
                  <w:vAlign w:val="center"/>
                </w:tcPr>
                <w:p>
                  <w:pPr>
                    <w:jc w:val="center"/>
                    <w:rPr>
                      <w:szCs w:val="21"/>
                    </w:rPr>
                  </w:pPr>
                  <w:r>
                    <w:rPr>
                      <w:szCs w:val="21"/>
                    </w:rPr>
                    <w:t>/</w:t>
                  </w:r>
                </w:p>
              </w:tc>
              <w:tc>
                <w:tcPr>
                  <w:tcW w:w="1119" w:type="dxa"/>
                  <w:shd w:val="clear" w:color="auto" w:fill="auto"/>
                  <w:vAlign w:val="center"/>
                </w:tcPr>
                <w:p>
                  <w:pPr>
                    <w:jc w:val="center"/>
                    <w:rPr>
                      <w:szCs w:val="21"/>
                    </w:rPr>
                  </w:pPr>
                  <w:r>
                    <w:rPr>
                      <w:rFonts w:hint="eastAsia"/>
                      <w:szCs w:val="21"/>
                    </w:rPr>
                    <w:t>650t/a</w:t>
                  </w:r>
                </w:p>
              </w:tc>
              <w:tc>
                <w:tcPr>
                  <w:tcW w:w="868" w:type="dxa"/>
                  <w:vMerge w:val="continue"/>
                  <w:vAlign w:val="center"/>
                </w:tcPr>
                <w:p>
                  <w:pPr>
                    <w:jc w:val="center"/>
                    <w:rPr>
                      <w:szCs w:val="21"/>
                    </w:rPr>
                  </w:pPr>
                </w:p>
              </w:tc>
              <w:tc>
                <w:tcPr>
                  <w:tcW w:w="1299" w:type="dxa"/>
                  <w:vMerge w:val="continue"/>
                  <w:vAlign w:val="center"/>
                </w:tcPr>
                <w:p>
                  <w:pPr>
                    <w:jc w:val="center"/>
                    <w:rPr>
                      <w:szCs w:val="21"/>
                    </w:rPr>
                  </w:pPr>
                </w:p>
              </w:tc>
              <w:tc>
                <w:tcPr>
                  <w:tcW w:w="981" w:type="dxa"/>
                  <w:vAlign w:val="center"/>
                </w:tcPr>
                <w:p>
                  <w:pPr>
                    <w:jc w:val="center"/>
                    <w:rPr>
                      <w:szCs w:val="21"/>
                    </w:rPr>
                  </w:pPr>
                  <w:r>
                    <w:rPr>
                      <w:rFonts w:hint="eastAsia"/>
                      <w:szCs w:val="21"/>
                    </w:rPr>
                    <w:t>650t/a</w:t>
                  </w:r>
                </w:p>
              </w:tc>
              <w:tc>
                <w:tcPr>
                  <w:tcW w:w="1812"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9" w:hRule="atLeast"/>
              </w:trPr>
              <w:tc>
                <w:tcPr>
                  <w:tcW w:w="1064" w:type="dxa"/>
                  <w:shd w:val="clear" w:color="auto" w:fill="auto"/>
                  <w:vAlign w:val="center"/>
                </w:tcPr>
                <w:p>
                  <w:pPr>
                    <w:jc w:val="center"/>
                    <w:rPr>
                      <w:szCs w:val="21"/>
                    </w:rPr>
                  </w:pPr>
                  <w:r>
                    <w:rPr>
                      <w:szCs w:val="21"/>
                    </w:rPr>
                    <w:t>成品包装</w:t>
                  </w:r>
                </w:p>
              </w:tc>
              <w:tc>
                <w:tcPr>
                  <w:tcW w:w="1065" w:type="dxa"/>
                  <w:shd w:val="clear" w:color="auto" w:fill="auto"/>
                  <w:vAlign w:val="center"/>
                </w:tcPr>
                <w:p>
                  <w:pPr>
                    <w:jc w:val="center"/>
                    <w:rPr>
                      <w:szCs w:val="21"/>
                    </w:rPr>
                  </w:pPr>
                  <w:r>
                    <w:rPr>
                      <w:szCs w:val="21"/>
                    </w:rPr>
                    <w:t>废塑料</w:t>
                  </w:r>
                </w:p>
                <w:p>
                  <w:pPr>
                    <w:jc w:val="center"/>
                    <w:rPr>
                      <w:szCs w:val="21"/>
                    </w:rPr>
                  </w:pPr>
                  <w:r>
                    <w:rPr>
                      <w:szCs w:val="21"/>
                    </w:rPr>
                    <w:t>废木板</w:t>
                  </w:r>
                </w:p>
              </w:tc>
              <w:tc>
                <w:tcPr>
                  <w:tcW w:w="1571" w:type="dxa"/>
                  <w:vMerge w:val="continue"/>
                  <w:shd w:val="clear" w:color="auto" w:fill="auto"/>
                  <w:vAlign w:val="center"/>
                </w:tcPr>
                <w:p>
                  <w:pPr>
                    <w:jc w:val="center"/>
                    <w:rPr>
                      <w:szCs w:val="21"/>
                    </w:rPr>
                  </w:pPr>
                </w:p>
              </w:tc>
              <w:tc>
                <w:tcPr>
                  <w:tcW w:w="1101" w:type="dxa"/>
                  <w:shd w:val="clear" w:color="auto" w:fill="auto"/>
                  <w:vAlign w:val="center"/>
                </w:tcPr>
                <w:p>
                  <w:pPr>
                    <w:jc w:val="center"/>
                    <w:rPr>
                      <w:szCs w:val="21"/>
                    </w:rPr>
                  </w:pPr>
                </w:p>
              </w:tc>
              <w:tc>
                <w:tcPr>
                  <w:tcW w:w="865" w:type="dxa"/>
                  <w:shd w:val="clear" w:color="auto" w:fill="auto"/>
                  <w:vAlign w:val="center"/>
                </w:tcPr>
                <w:p>
                  <w:pPr>
                    <w:jc w:val="center"/>
                    <w:rPr>
                      <w:szCs w:val="21"/>
                    </w:rPr>
                  </w:pPr>
                </w:p>
              </w:tc>
              <w:tc>
                <w:tcPr>
                  <w:tcW w:w="1127" w:type="dxa"/>
                  <w:shd w:val="clear" w:color="auto" w:fill="auto"/>
                  <w:vAlign w:val="center"/>
                </w:tcPr>
                <w:p>
                  <w:pPr>
                    <w:jc w:val="center"/>
                    <w:rPr>
                      <w:szCs w:val="21"/>
                    </w:rPr>
                  </w:pPr>
                </w:p>
              </w:tc>
              <w:tc>
                <w:tcPr>
                  <w:tcW w:w="1119" w:type="dxa"/>
                  <w:shd w:val="clear" w:color="auto" w:fill="auto"/>
                  <w:vAlign w:val="center"/>
                </w:tcPr>
                <w:p>
                  <w:pPr>
                    <w:jc w:val="center"/>
                    <w:rPr>
                      <w:szCs w:val="21"/>
                    </w:rPr>
                  </w:pPr>
                  <w:r>
                    <w:rPr>
                      <w:rFonts w:hint="eastAsia"/>
                      <w:szCs w:val="21"/>
                    </w:rPr>
                    <w:t>2.0t/a</w:t>
                  </w:r>
                </w:p>
              </w:tc>
              <w:tc>
                <w:tcPr>
                  <w:tcW w:w="868" w:type="dxa"/>
                  <w:vMerge w:val="continue"/>
                  <w:vAlign w:val="center"/>
                </w:tcPr>
                <w:p>
                  <w:pPr>
                    <w:jc w:val="center"/>
                    <w:rPr>
                      <w:szCs w:val="21"/>
                    </w:rPr>
                  </w:pPr>
                </w:p>
              </w:tc>
              <w:tc>
                <w:tcPr>
                  <w:tcW w:w="1299" w:type="dxa"/>
                  <w:vAlign w:val="center"/>
                </w:tcPr>
                <w:p>
                  <w:pPr>
                    <w:jc w:val="center"/>
                    <w:rPr>
                      <w:szCs w:val="21"/>
                    </w:rPr>
                  </w:pPr>
                  <w:r>
                    <w:rPr>
                      <w:szCs w:val="21"/>
                    </w:rPr>
                    <w:t>集中收集后综合利用</w:t>
                  </w:r>
                </w:p>
              </w:tc>
              <w:tc>
                <w:tcPr>
                  <w:tcW w:w="981" w:type="dxa"/>
                  <w:vAlign w:val="center"/>
                </w:tcPr>
                <w:p>
                  <w:pPr>
                    <w:jc w:val="center"/>
                    <w:rPr>
                      <w:szCs w:val="21"/>
                    </w:rPr>
                  </w:pPr>
                  <w:r>
                    <w:rPr>
                      <w:rFonts w:hint="eastAsia"/>
                      <w:szCs w:val="21"/>
                    </w:rPr>
                    <w:t>2.0t/a</w:t>
                  </w:r>
                </w:p>
              </w:tc>
              <w:tc>
                <w:tcPr>
                  <w:tcW w:w="1812" w:type="dxa"/>
                  <w:vMerge w:val="continue"/>
                  <w:vAlign w:val="center"/>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071" w:hRule="atLeast"/>
              </w:trPr>
              <w:tc>
                <w:tcPr>
                  <w:tcW w:w="1064" w:type="dxa"/>
                  <w:vMerge w:val="restart"/>
                  <w:shd w:val="clear" w:color="auto" w:fill="auto"/>
                  <w:vAlign w:val="center"/>
                </w:tcPr>
                <w:p>
                  <w:pPr>
                    <w:jc w:val="center"/>
                    <w:rPr>
                      <w:szCs w:val="21"/>
                    </w:rPr>
                  </w:pPr>
                  <w:r>
                    <w:rPr>
                      <w:szCs w:val="21"/>
                    </w:rPr>
                    <w:t>设备</w:t>
                  </w:r>
                </w:p>
              </w:tc>
              <w:tc>
                <w:tcPr>
                  <w:tcW w:w="1065" w:type="dxa"/>
                  <w:shd w:val="clear" w:color="auto" w:fill="auto"/>
                  <w:vAlign w:val="center"/>
                </w:tcPr>
                <w:p>
                  <w:pPr>
                    <w:jc w:val="center"/>
                    <w:rPr>
                      <w:szCs w:val="21"/>
                    </w:rPr>
                  </w:pPr>
                  <w:r>
                    <w:rPr>
                      <w:szCs w:val="21"/>
                    </w:rPr>
                    <w:t>废机油</w:t>
                  </w:r>
                </w:p>
              </w:tc>
              <w:tc>
                <w:tcPr>
                  <w:tcW w:w="1571" w:type="dxa"/>
                  <w:shd w:val="clear" w:color="auto" w:fill="auto"/>
                  <w:vAlign w:val="center"/>
                </w:tcPr>
                <w:p>
                  <w:pPr>
                    <w:jc w:val="center"/>
                    <w:rPr>
                      <w:szCs w:val="21"/>
                    </w:rPr>
                  </w:pPr>
                  <w:r>
                    <w:rPr>
                      <w:szCs w:val="21"/>
                    </w:rPr>
                    <w:t>危险废物900-214-08</w:t>
                  </w:r>
                </w:p>
              </w:tc>
              <w:tc>
                <w:tcPr>
                  <w:tcW w:w="1101" w:type="dxa"/>
                  <w:shd w:val="clear" w:color="auto" w:fill="auto"/>
                  <w:vAlign w:val="center"/>
                </w:tcPr>
                <w:p>
                  <w:pPr>
                    <w:jc w:val="center"/>
                    <w:rPr>
                      <w:szCs w:val="21"/>
                    </w:rPr>
                  </w:pPr>
                  <w:r>
                    <w:rPr>
                      <w:szCs w:val="21"/>
                    </w:rPr>
                    <w:t>多环芳</w:t>
                  </w:r>
                </w:p>
                <w:p>
                  <w:pPr>
                    <w:jc w:val="center"/>
                    <w:rPr>
                      <w:szCs w:val="21"/>
                    </w:rPr>
                  </w:pPr>
                  <w:r>
                    <w:rPr>
                      <w:szCs w:val="21"/>
                    </w:rPr>
                    <w:t>香烃</w:t>
                  </w:r>
                </w:p>
              </w:tc>
              <w:tc>
                <w:tcPr>
                  <w:tcW w:w="865" w:type="dxa"/>
                  <w:shd w:val="clear" w:color="auto" w:fill="auto"/>
                  <w:vAlign w:val="center"/>
                </w:tcPr>
                <w:p>
                  <w:pPr>
                    <w:jc w:val="center"/>
                    <w:rPr>
                      <w:szCs w:val="21"/>
                    </w:rPr>
                  </w:pPr>
                  <w:r>
                    <w:rPr>
                      <w:szCs w:val="21"/>
                    </w:rPr>
                    <w:t>液体</w:t>
                  </w:r>
                </w:p>
              </w:tc>
              <w:tc>
                <w:tcPr>
                  <w:tcW w:w="1127" w:type="dxa"/>
                  <w:shd w:val="clear" w:color="auto" w:fill="auto"/>
                  <w:vAlign w:val="center"/>
                </w:tcPr>
                <w:p>
                  <w:pPr>
                    <w:jc w:val="center"/>
                    <w:rPr>
                      <w:szCs w:val="21"/>
                    </w:rPr>
                  </w:pPr>
                  <w:r>
                    <w:rPr>
                      <w:szCs w:val="21"/>
                    </w:rPr>
                    <w:t>T、I</w:t>
                  </w:r>
                </w:p>
              </w:tc>
              <w:tc>
                <w:tcPr>
                  <w:tcW w:w="1119" w:type="dxa"/>
                  <w:shd w:val="clear" w:color="auto" w:fill="auto"/>
                  <w:vAlign w:val="center"/>
                </w:tcPr>
                <w:p>
                  <w:pPr>
                    <w:jc w:val="center"/>
                    <w:rPr>
                      <w:szCs w:val="21"/>
                    </w:rPr>
                  </w:pPr>
                  <w:r>
                    <w:rPr>
                      <w:rFonts w:hint="eastAsia"/>
                      <w:szCs w:val="21"/>
                    </w:rPr>
                    <w:t>0.2t/a</w:t>
                  </w:r>
                </w:p>
              </w:tc>
              <w:tc>
                <w:tcPr>
                  <w:tcW w:w="868" w:type="dxa"/>
                  <w:vMerge w:val="restart"/>
                  <w:vAlign w:val="center"/>
                </w:tcPr>
                <w:p>
                  <w:pPr>
                    <w:jc w:val="center"/>
                    <w:rPr>
                      <w:szCs w:val="21"/>
                    </w:rPr>
                  </w:pPr>
                  <w:r>
                    <w:rPr>
                      <w:szCs w:val="21"/>
                    </w:rPr>
                    <w:t>10m</w:t>
                  </w:r>
                  <w:r>
                    <w:rPr>
                      <w:szCs w:val="21"/>
                      <w:vertAlign w:val="superscript"/>
                    </w:rPr>
                    <w:t>2</w:t>
                  </w:r>
                  <w:r>
                    <w:rPr>
                      <w:szCs w:val="21"/>
                    </w:rPr>
                    <w:t>危废暂存间</w:t>
                  </w:r>
                </w:p>
              </w:tc>
              <w:tc>
                <w:tcPr>
                  <w:tcW w:w="1299" w:type="dxa"/>
                  <w:vMerge w:val="restart"/>
                  <w:vAlign w:val="center"/>
                </w:tcPr>
                <w:p>
                  <w:pPr>
                    <w:jc w:val="center"/>
                    <w:rPr>
                      <w:szCs w:val="21"/>
                    </w:rPr>
                  </w:pPr>
                  <w:r>
                    <w:rPr>
                      <w:szCs w:val="21"/>
                    </w:rPr>
                    <w:t>交由有资质单位处理</w:t>
                  </w:r>
                </w:p>
              </w:tc>
              <w:tc>
                <w:tcPr>
                  <w:tcW w:w="981" w:type="dxa"/>
                  <w:vAlign w:val="center"/>
                </w:tcPr>
                <w:p>
                  <w:pPr>
                    <w:jc w:val="center"/>
                    <w:rPr>
                      <w:szCs w:val="21"/>
                    </w:rPr>
                  </w:pPr>
                  <w:r>
                    <w:rPr>
                      <w:rFonts w:hint="eastAsia"/>
                      <w:szCs w:val="21"/>
                    </w:rPr>
                    <w:t>0.2t/a</w:t>
                  </w:r>
                </w:p>
              </w:tc>
              <w:tc>
                <w:tcPr>
                  <w:tcW w:w="1812" w:type="dxa"/>
                  <w:vMerge w:val="restart"/>
                  <w:vAlign w:val="center"/>
                </w:tcPr>
                <w:p>
                  <w:pPr>
                    <w:jc w:val="center"/>
                    <w:rPr>
                      <w:szCs w:val="21"/>
                    </w:rPr>
                  </w:pPr>
                  <w:r>
                    <w:rPr>
                      <w:szCs w:val="21"/>
                    </w:rPr>
                    <w:t>防风、防雨、防晒、防渗漏（防渗性能不应低于6.0m厚渗透系数为1.0×10-7cm/s的粘土层的防渗性能）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1" w:hRule="atLeast"/>
              </w:trPr>
              <w:tc>
                <w:tcPr>
                  <w:tcW w:w="1064" w:type="dxa"/>
                  <w:vMerge w:val="continue"/>
                  <w:shd w:val="clear" w:color="auto" w:fill="auto"/>
                  <w:vAlign w:val="center"/>
                </w:tcPr>
                <w:p>
                  <w:pPr>
                    <w:jc w:val="center"/>
                    <w:rPr>
                      <w:szCs w:val="21"/>
                    </w:rPr>
                  </w:pPr>
                </w:p>
              </w:tc>
              <w:tc>
                <w:tcPr>
                  <w:tcW w:w="1065" w:type="dxa"/>
                  <w:shd w:val="clear" w:color="auto" w:fill="auto"/>
                  <w:vAlign w:val="center"/>
                </w:tcPr>
                <w:p>
                  <w:pPr>
                    <w:jc w:val="center"/>
                    <w:rPr>
                      <w:szCs w:val="21"/>
                    </w:rPr>
                  </w:pPr>
                  <w:r>
                    <w:rPr>
                      <w:szCs w:val="21"/>
                    </w:rPr>
                    <w:t>废乳化液</w:t>
                  </w:r>
                </w:p>
              </w:tc>
              <w:tc>
                <w:tcPr>
                  <w:tcW w:w="1571" w:type="dxa"/>
                  <w:shd w:val="clear" w:color="auto" w:fill="auto"/>
                  <w:vAlign w:val="center"/>
                </w:tcPr>
                <w:p>
                  <w:pPr>
                    <w:jc w:val="center"/>
                    <w:rPr>
                      <w:szCs w:val="21"/>
                    </w:rPr>
                  </w:pPr>
                  <w:r>
                    <w:rPr>
                      <w:szCs w:val="21"/>
                    </w:rPr>
                    <w:t>危险废物</w:t>
                  </w:r>
                </w:p>
                <w:p>
                  <w:pPr>
                    <w:jc w:val="center"/>
                    <w:rPr>
                      <w:szCs w:val="21"/>
                    </w:rPr>
                  </w:pPr>
                  <w:r>
                    <w:rPr>
                      <w:szCs w:val="21"/>
                    </w:rPr>
                    <w:t>900-007-09</w:t>
                  </w:r>
                </w:p>
              </w:tc>
              <w:tc>
                <w:tcPr>
                  <w:tcW w:w="1101" w:type="dxa"/>
                  <w:shd w:val="clear" w:color="auto" w:fill="auto"/>
                  <w:vAlign w:val="center"/>
                </w:tcPr>
                <w:p>
                  <w:pPr>
                    <w:jc w:val="center"/>
                    <w:rPr>
                      <w:szCs w:val="21"/>
                    </w:rPr>
                  </w:pPr>
                  <w:r>
                    <w:rPr>
                      <w:szCs w:val="21"/>
                    </w:rPr>
                    <w:t>多环芳</w:t>
                  </w:r>
                </w:p>
                <w:p>
                  <w:pPr>
                    <w:jc w:val="center"/>
                    <w:rPr>
                      <w:szCs w:val="21"/>
                    </w:rPr>
                  </w:pPr>
                  <w:r>
                    <w:rPr>
                      <w:szCs w:val="21"/>
                    </w:rPr>
                    <w:t>香烃</w:t>
                  </w:r>
                </w:p>
              </w:tc>
              <w:tc>
                <w:tcPr>
                  <w:tcW w:w="865" w:type="dxa"/>
                  <w:shd w:val="clear" w:color="auto" w:fill="auto"/>
                  <w:vAlign w:val="center"/>
                </w:tcPr>
                <w:p>
                  <w:pPr>
                    <w:jc w:val="center"/>
                    <w:rPr>
                      <w:szCs w:val="21"/>
                    </w:rPr>
                  </w:pPr>
                  <w:r>
                    <w:rPr>
                      <w:szCs w:val="21"/>
                    </w:rPr>
                    <w:t>液体</w:t>
                  </w:r>
                </w:p>
              </w:tc>
              <w:tc>
                <w:tcPr>
                  <w:tcW w:w="1127" w:type="dxa"/>
                  <w:shd w:val="clear" w:color="auto" w:fill="auto"/>
                  <w:vAlign w:val="center"/>
                </w:tcPr>
                <w:p>
                  <w:pPr>
                    <w:jc w:val="center"/>
                    <w:rPr>
                      <w:szCs w:val="21"/>
                    </w:rPr>
                  </w:pPr>
                  <w:r>
                    <w:rPr>
                      <w:szCs w:val="21"/>
                    </w:rPr>
                    <w:t>T</w:t>
                  </w:r>
                </w:p>
              </w:tc>
              <w:tc>
                <w:tcPr>
                  <w:tcW w:w="1119" w:type="dxa"/>
                  <w:shd w:val="clear" w:color="auto" w:fill="auto"/>
                  <w:vAlign w:val="center"/>
                </w:tcPr>
                <w:p>
                  <w:pPr>
                    <w:jc w:val="center"/>
                    <w:rPr>
                      <w:szCs w:val="21"/>
                    </w:rPr>
                  </w:pPr>
                  <w:r>
                    <w:rPr>
                      <w:rFonts w:hint="eastAsia"/>
                      <w:szCs w:val="21"/>
                    </w:rPr>
                    <w:t>0.1t/a</w:t>
                  </w:r>
                </w:p>
              </w:tc>
              <w:tc>
                <w:tcPr>
                  <w:tcW w:w="868" w:type="dxa"/>
                  <w:vMerge w:val="continue"/>
                  <w:vAlign w:val="center"/>
                </w:tcPr>
                <w:p>
                  <w:pPr>
                    <w:jc w:val="center"/>
                    <w:rPr>
                      <w:szCs w:val="21"/>
                    </w:rPr>
                  </w:pPr>
                </w:p>
              </w:tc>
              <w:tc>
                <w:tcPr>
                  <w:tcW w:w="1299" w:type="dxa"/>
                  <w:vMerge w:val="continue"/>
                  <w:vAlign w:val="center"/>
                </w:tcPr>
                <w:p>
                  <w:pPr>
                    <w:jc w:val="center"/>
                    <w:rPr>
                      <w:szCs w:val="21"/>
                    </w:rPr>
                  </w:pPr>
                </w:p>
              </w:tc>
              <w:tc>
                <w:tcPr>
                  <w:tcW w:w="981" w:type="dxa"/>
                  <w:vAlign w:val="center"/>
                </w:tcPr>
                <w:p>
                  <w:pPr>
                    <w:jc w:val="center"/>
                    <w:rPr>
                      <w:szCs w:val="21"/>
                    </w:rPr>
                  </w:pPr>
                  <w:r>
                    <w:rPr>
                      <w:rFonts w:hint="eastAsia"/>
                      <w:szCs w:val="21"/>
                    </w:rPr>
                    <w:t>0.1t/a</w:t>
                  </w:r>
                </w:p>
              </w:tc>
              <w:tc>
                <w:tcPr>
                  <w:tcW w:w="1812" w:type="dxa"/>
                  <w:vMerge w:val="continue"/>
                  <w:vAlign w:val="center"/>
                </w:tcPr>
                <w:p>
                  <w:pPr>
                    <w:jc w:val="center"/>
                    <w:rPr>
                      <w:szCs w:val="21"/>
                    </w:rPr>
                  </w:pPr>
                </w:p>
              </w:tc>
            </w:tr>
          </w:tbl>
          <w:p>
            <w:pPr>
              <w:adjustRightInd w:val="0"/>
              <w:snapToGrid w:val="0"/>
              <w:rPr>
                <w:bCs/>
                <w:sz w:val="24"/>
              </w:rPr>
            </w:pPr>
          </w:p>
        </w:tc>
      </w:tr>
    </w:tbl>
    <w:p>
      <w:pPr>
        <w:pStyle w:val="10"/>
        <w:jc w:val="center"/>
        <w:outlineLvl w:val="0"/>
        <w:rPr>
          <w:rFonts w:ascii="Times New Roman" w:hAnsi="Times New Roman" w:cs="Times New Roman"/>
          <w:snapToGrid w:val="0"/>
          <w:sz w:val="30"/>
          <w:szCs w:val="30"/>
        </w:rPr>
        <w:sectPr>
          <w:pgSz w:w="16838" w:h="11906" w:orient="landscape"/>
          <w:pgMar w:top="1531" w:right="1701" w:bottom="1531" w:left="1701" w:header="851" w:footer="1077" w:gutter="0"/>
          <w:cols w:space="720" w:num="1"/>
          <w:docGrid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8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64" w:hRule="atLeast"/>
        </w:trPr>
        <w:tc>
          <w:tcPr>
            <w:tcW w:w="534" w:type="dxa"/>
            <w:vAlign w:val="center"/>
          </w:tcPr>
          <w:p>
            <w:pPr>
              <w:pStyle w:val="10"/>
              <w:jc w:val="center"/>
              <w:outlineLvl w:val="0"/>
              <w:rPr>
                <w:rFonts w:ascii="Times New Roman" w:hAnsi="Times New Roman" w:cs="Times New Roman"/>
                <w:snapToGrid w:val="0"/>
                <w:sz w:val="30"/>
                <w:szCs w:val="30"/>
              </w:rPr>
            </w:pPr>
            <w:r>
              <w:rPr>
                <w:rFonts w:ascii="Times New Roman" w:hAnsi="Times New Roman" w:cs="Times New Roman"/>
                <w:snapToGrid w:val="0"/>
                <w:szCs w:val="24"/>
              </w:rPr>
              <w:t>运营期环境影响和保护措施</w:t>
            </w:r>
          </w:p>
        </w:tc>
        <w:tc>
          <w:tcPr>
            <w:tcW w:w="8526" w:type="dxa"/>
          </w:tcPr>
          <w:p>
            <w:pPr>
              <w:spacing w:line="360" w:lineRule="auto"/>
              <w:ind w:firstLine="482" w:firstLineChars="200"/>
              <w:rPr>
                <w:b/>
                <w:bCs/>
                <w:sz w:val="24"/>
              </w:rPr>
            </w:pPr>
            <w:r>
              <w:rPr>
                <w:b/>
                <w:bCs/>
                <w:sz w:val="24"/>
              </w:rPr>
              <w:t>1、一期工程：</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（1）生活垃圾</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生活垃圾产生量按G=K·N计算，式中：</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G—生活垃圾产生量（kg/d），</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N—人口数（人），</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K—人均排放系数（kg/d），依据生活污染物排放系数，取0.5kg/人·d。</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一期工程劳动定员15人，生活垃圾产生量约0.5kg/人·d，年工作</w:t>
            </w:r>
            <w:r>
              <w:rPr>
                <w:rFonts w:hint="eastAsia" w:ascii="Times New Roman" w:hAnsi="Times New Roman" w:cs="Times New Roman"/>
                <w:snapToGrid w:val="0"/>
                <w:szCs w:val="24"/>
              </w:rPr>
              <w:t>3</w:t>
            </w:r>
            <w:r>
              <w:rPr>
                <w:rFonts w:ascii="Times New Roman" w:hAnsi="Times New Roman" w:cs="Times New Roman"/>
                <w:snapToGrid w:val="0"/>
                <w:szCs w:val="24"/>
              </w:rPr>
              <w:t>00天，年生活垃圾产生量约</w:t>
            </w:r>
            <w:r>
              <w:rPr>
                <w:rFonts w:hint="eastAsia" w:ascii="Times New Roman" w:hAnsi="Times New Roman" w:cs="Times New Roman"/>
                <w:snapToGrid w:val="0"/>
                <w:szCs w:val="24"/>
              </w:rPr>
              <w:t>2.25</w:t>
            </w:r>
            <w:r>
              <w:rPr>
                <w:rFonts w:ascii="Times New Roman" w:hAnsi="Times New Roman" w:cs="Times New Roman"/>
                <w:snapToGrid w:val="0"/>
                <w:szCs w:val="24"/>
              </w:rPr>
              <w:t>t/a。</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G=K×N=15×</w:t>
            </w:r>
            <w:r>
              <w:rPr>
                <w:rFonts w:hint="eastAsia" w:ascii="Times New Roman" w:hAnsi="Times New Roman" w:cs="Times New Roman"/>
                <w:snapToGrid w:val="0"/>
                <w:szCs w:val="24"/>
              </w:rPr>
              <w:t>0.5</w:t>
            </w:r>
            <w:r>
              <w:rPr>
                <w:rFonts w:ascii="Times New Roman" w:hAnsi="Times New Roman" w:cs="Times New Roman"/>
                <w:snapToGrid w:val="0"/>
                <w:szCs w:val="24"/>
              </w:rPr>
              <w:t>×</w:t>
            </w:r>
            <w:r>
              <w:rPr>
                <w:rFonts w:hint="eastAsia" w:ascii="Times New Roman" w:hAnsi="Times New Roman" w:cs="Times New Roman"/>
                <w:snapToGrid w:val="0"/>
                <w:szCs w:val="24"/>
              </w:rPr>
              <w:t>300=2.25t</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生活垃圾经站内垃圾箱集中收集后运往环卫部门指定收集点，不会对外环境产生影响。</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ascii="Times New Roman" w:hAnsi="Times New Roman" w:cs="Times New Roman"/>
                <w:snapToGrid w:val="0"/>
                <w:szCs w:val="24"/>
              </w:rPr>
              <w:t>（2）</w:t>
            </w:r>
            <w:r>
              <w:rPr>
                <w:rFonts w:ascii="Times New Roman" w:hAnsi="Times New Roman" w:cs="Times New Roman"/>
                <w:snapToGrid w:val="0"/>
                <w:szCs w:val="24"/>
              </w:rPr>
              <w:t>边角料、废铁屑及氧化铁皮</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本项目</w:t>
            </w:r>
            <w:r>
              <w:rPr>
                <w:rFonts w:hint="eastAsia" w:ascii="Times New Roman" w:hAnsi="Times New Roman" w:cs="Times New Roman"/>
                <w:snapToGrid w:val="0"/>
                <w:szCs w:val="24"/>
              </w:rPr>
              <w:t>一期工程</w:t>
            </w:r>
            <w:r>
              <w:rPr>
                <w:rFonts w:ascii="Times New Roman" w:hAnsi="Times New Roman" w:cs="Times New Roman"/>
                <w:snapToGrid w:val="0"/>
                <w:szCs w:val="24"/>
              </w:rPr>
              <w:t>生产规模为</w:t>
            </w:r>
            <w:r>
              <w:rPr>
                <w:rFonts w:hint="eastAsia" w:ascii="Times New Roman" w:hAnsi="Times New Roman" w:cs="Times New Roman"/>
                <w:snapToGrid w:val="0"/>
                <w:szCs w:val="24"/>
              </w:rPr>
              <w:t>1</w:t>
            </w:r>
            <w:r>
              <w:rPr>
                <w:rFonts w:ascii="Times New Roman" w:hAnsi="Times New Roman" w:cs="Times New Roman"/>
                <w:snapToGrid w:val="0"/>
                <w:szCs w:val="24"/>
              </w:rPr>
              <w:t>000t/a锻件、法兰，根据建设单位提供，原料/成品综合比值为1.4：1，年需要原料为</w:t>
            </w:r>
            <w:r>
              <w:rPr>
                <w:rFonts w:hint="eastAsia" w:ascii="Times New Roman" w:hAnsi="Times New Roman" w:cs="Times New Roman"/>
                <w:snapToGrid w:val="0"/>
                <w:szCs w:val="24"/>
              </w:rPr>
              <w:t>1400</w:t>
            </w:r>
            <w:r>
              <w:rPr>
                <w:rFonts w:ascii="Times New Roman" w:hAnsi="Times New Roman" w:cs="Times New Roman"/>
                <w:snapToGrid w:val="0"/>
                <w:szCs w:val="24"/>
              </w:rPr>
              <w:t>t/a，生产过程中加热和锻压产生氧化铁皮约</w:t>
            </w:r>
            <w:r>
              <w:rPr>
                <w:rFonts w:hint="eastAsia" w:ascii="Times New Roman" w:hAnsi="Times New Roman" w:cs="Times New Roman"/>
                <w:snapToGrid w:val="0"/>
                <w:szCs w:val="24"/>
              </w:rPr>
              <w:t>75</w:t>
            </w:r>
            <w:r>
              <w:rPr>
                <w:rFonts w:ascii="Times New Roman" w:hAnsi="Times New Roman" w:cs="Times New Roman"/>
                <w:snapToGrid w:val="0"/>
                <w:szCs w:val="24"/>
              </w:rPr>
              <w:t>t/a，废铁屑及边角料产生量为</w:t>
            </w:r>
            <w:r>
              <w:rPr>
                <w:rFonts w:hint="eastAsia" w:ascii="Times New Roman" w:hAnsi="Times New Roman" w:cs="Times New Roman"/>
                <w:snapToGrid w:val="0"/>
                <w:szCs w:val="24"/>
              </w:rPr>
              <w:t>325</w:t>
            </w:r>
            <w:r>
              <w:rPr>
                <w:rFonts w:ascii="Times New Roman" w:hAnsi="Times New Roman" w:cs="Times New Roman"/>
                <w:snapToGrid w:val="0"/>
                <w:szCs w:val="24"/>
              </w:rPr>
              <w:t>t/a。在厂区设置</w:t>
            </w:r>
            <w:r>
              <w:rPr>
                <w:rFonts w:hint="eastAsia" w:ascii="Times New Roman" w:hAnsi="Times New Roman" w:cs="Times New Roman"/>
                <w:snapToGrid w:val="0"/>
                <w:szCs w:val="24"/>
              </w:rPr>
              <w:t>30m</w:t>
            </w:r>
            <w:r>
              <w:rPr>
                <w:rFonts w:hint="eastAsia" w:ascii="Times New Roman" w:hAnsi="Times New Roman" w:cs="Times New Roman"/>
                <w:snapToGrid w:val="0"/>
                <w:szCs w:val="24"/>
                <w:vertAlign w:val="superscript"/>
              </w:rPr>
              <w:t>3</w:t>
            </w:r>
            <w:r>
              <w:rPr>
                <w:rFonts w:hint="eastAsia" w:ascii="Times New Roman" w:hAnsi="Times New Roman" w:cs="Times New Roman"/>
                <w:snapToGrid w:val="0"/>
                <w:szCs w:val="24"/>
              </w:rPr>
              <w:t>固废暂存间</w:t>
            </w:r>
            <w:r>
              <w:rPr>
                <w:rFonts w:ascii="Times New Roman" w:hAnsi="Times New Roman" w:cs="Times New Roman"/>
                <w:snapToGrid w:val="0"/>
                <w:szCs w:val="24"/>
              </w:rPr>
              <w:t>，定期外售给废品回收站。</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ascii="Times New Roman" w:hAnsi="Times New Roman" w:cs="Times New Roman"/>
                <w:snapToGrid w:val="0"/>
                <w:szCs w:val="24"/>
              </w:rPr>
              <w:t>（3）</w:t>
            </w:r>
            <w:r>
              <w:rPr>
                <w:rFonts w:ascii="Times New Roman" w:hAnsi="Times New Roman" w:cs="Times New Roman"/>
                <w:snapToGrid w:val="0"/>
                <w:szCs w:val="24"/>
              </w:rPr>
              <w:t>废塑料、废木板</w:t>
            </w:r>
          </w:p>
          <w:p>
            <w:pPr>
              <w:pStyle w:val="11"/>
              <w:ind w:firstLine="496"/>
              <w:rPr>
                <w:color w:val="auto"/>
              </w:rPr>
            </w:pPr>
            <w:r>
              <w:rPr>
                <w:color w:val="auto"/>
              </w:rPr>
              <w:t>本项目废包装包括废塑料及废木板。产生量约为</w:t>
            </w:r>
            <w:r>
              <w:rPr>
                <w:rFonts w:hint="eastAsia"/>
                <w:color w:val="auto"/>
              </w:rPr>
              <w:t>1</w:t>
            </w:r>
            <w:r>
              <w:rPr>
                <w:color w:val="auto"/>
              </w:rPr>
              <w:t>.0t/a。废包装经收集后综合利用。</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ascii="Times New Roman" w:hAnsi="Times New Roman" w:cs="Times New Roman"/>
                <w:snapToGrid w:val="0"/>
                <w:szCs w:val="24"/>
              </w:rPr>
              <w:t>（4）</w:t>
            </w:r>
            <w:r>
              <w:rPr>
                <w:rFonts w:ascii="Times New Roman" w:hAnsi="Times New Roman" w:cs="Times New Roman"/>
                <w:snapToGrid w:val="0"/>
                <w:szCs w:val="24"/>
              </w:rPr>
              <w:t>危险废物</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①</w:t>
            </w:r>
            <w:r>
              <w:rPr>
                <w:rFonts w:ascii="Times New Roman" w:hAnsi="Times New Roman" w:cs="Times New Roman"/>
                <w:snapToGrid w:val="0"/>
                <w:szCs w:val="24"/>
              </w:rPr>
              <w:t>废乳化液</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项目外购乳化液，用量约为0.</w:t>
            </w:r>
            <w:r>
              <w:rPr>
                <w:rFonts w:hint="eastAsia" w:ascii="Times New Roman" w:hAnsi="Times New Roman" w:cs="Times New Roman"/>
                <w:snapToGrid w:val="0"/>
                <w:szCs w:val="24"/>
              </w:rPr>
              <w:t>1</w:t>
            </w:r>
            <w:r>
              <w:rPr>
                <w:rFonts w:ascii="Times New Roman" w:hAnsi="Times New Roman" w:cs="Times New Roman"/>
                <w:snapToGrid w:val="0"/>
                <w:szCs w:val="24"/>
              </w:rPr>
              <w:t>t/a，经稀释</w:t>
            </w:r>
            <w:r>
              <w:rPr>
                <w:rFonts w:hint="eastAsia" w:ascii="Times New Roman" w:hAnsi="Times New Roman" w:cs="Times New Roman"/>
                <w:snapToGrid w:val="0"/>
                <w:szCs w:val="24"/>
              </w:rPr>
              <w:t>后</w:t>
            </w:r>
            <w:r>
              <w:rPr>
                <w:rFonts w:ascii="Times New Roman" w:hAnsi="Times New Roman" w:cs="Times New Roman"/>
                <w:snapToGrid w:val="0"/>
                <w:szCs w:val="24"/>
              </w:rPr>
              <w:t>，用于</w:t>
            </w:r>
            <w:r>
              <w:rPr>
                <w:rFonts w:hint="eastAsia" w:ascii="Times New Roman" w:hAnsi="Times New Roman" w:cs="Times New Roman"/>
                <w:snapToGrid w:val="0"/>
                <w:szCs w:val="24"/>
              </w:rPr>
              <w:t>润滑</w:t>
            </w:r>
            <w:r>
              <w:rPr>
                <w:rFonts w:ascii="Times New Roman" w:hAnsi="Times New Roman" w:cs="Times New Roman"/>
                <w:snapToGrid w:val="0"/>
                <w:szCs w:val="24"/>
              </w:rPr>
              <w:t>磨损刀具和工件，在设备加工运行过程中，损耗量约为70%，产生的废乳化液为0.</w:t>
            </w:r>
            <w:r>
              <w:rPr>
                <w:rFonts w:hint="eastAsia" w:ascii="Times New Roman" w:hAnsi="Times New Roman" w:cs="Times New Roman"/>
                <w:snapToGrid w:val="0"/>
                <w:szCs w:val="24"/>
              </w:rPr>
              <w:t>1</w:t>
            </w:r>
            <w:r>
              <w:rPr>
                <w:rFonts w:ascii="Times New Roman" w:hAnsi="Times New Roman" w:cs="Times New Roman"/>
                <w:snapToGrid w:val="0"/>
                <w:szCs w:val="24"/>
              </w:rPr>
              <w:t>t/a。</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②</w:t>
            </w:r>
            <w:r>
              <w:rPr>
                <w:rFonts w:ascii="Times New Roman" w:hAnsi="Times New Roman" w:cs="Times New Roman"/>
                <w:snapToGrid w:val="0"/>
                <w:szCs w:val="24"/>
              </w:rPr>
              <w:t>废机油</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项目机油的用量为0.</w:t>
            </w:r>
            <w:r>
              <w:rPr>
                <w:rFonts w:hint="eastAsia" w:ascii="Times New Roman" w:hAnsi="Times New Roman" w:cs="Times New Roman"/>
                <w:snapToGrid w:val="0"/>
                <w:szCs w:val="24"/>
              </w:rPr>
              <w:t>1</w:t>
            </w:r>
            <w:r>
              <w:rPr>
                <w:rFonts w:ascii="Times New Roman" w:hAnsi="Times New Roman" w:cs="Times New Roman"/>
                <w:snapToGrid w:val="0"/>
                <w:szCs w:val="24"/>
              </w:rPr>
              <w:t>t/a，设备运行过程中会损耗一部分，跑、冒、滴、漏还会有少量的损耗，本项目产生的废机油量约为0.</w:t>
            </w:r>
            <w:r>
              <w:rPr>
                <w:rFonts w:hint="eastAsia" w:ascii="Times New Roman" w:hAnsi="Times New Roman" w:cs="Times New Roman"/>
                <w:snapToGrid w:val="0"/>
                <w:szCs w:val="24"/>
              </w:rPr>
              <w:t>05</w:t>
            </w:r>
            <w:r>
              <w:rPr>
                <w:rFonts w:ascii="Times New Roman" w:hAnsi="Times New Roman" w:cs="Times New Roman"/>
                <w:snapToGrid w:val="0"/>
                <w:szCs w:val="24"/>
              </w:rPr>
              <w:t>t/a。</w:t>
            </w:r>
          </w:p>
          <w:p>
            <w:pPr>
              <w:spacing w:line="360" w:lineRule="auto"/>
              <w:ind w:firstLine="482" w:firstLineChars="200"/>
              <w:rPr>
                <w:b/>
                <w:bCs/>
                <w:sz w:val="24"/>
              </w:rPr>
            </w:pPr>
            <w:r>
              <w:rPr>
                <w:rFonts w:hint="eastAsia"/>
                <w:b/>
                <w:bCs/>
                <w:sz w:val="24"/>
              </w:rPr>
              <w:t>2</w:t>
            </w:r>
            <w:r>
              <w:rPr>
                <w:b/>
                <w:bCs/>
                <w:sz w:val="24"/>
              </w:rPr>
              <w:t>、</w:t>
            </w:r>
            <w:r>
              <w:rPr>
                <w:rFonts w:hint="eastAsia"/>
                <w:b/>
                <w:bCs/>
                <w:sz w:val="24"/>
              </w:rPr>
              <w:t>二</w:t>
            </w:r>
            <w:r>
              <w:rPr>
                <w:b/>
                <w:bCs/>
                <w:sz w:val="24"/>
              </w:rPr>
              <w:t>期工程：</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（1）生活垃圾</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生活垃圾产生量按G=K·N计算，式中：</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G—生活垃圾产生量（kg/d），</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N—人口数（人），</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K—人均排放系数（kg/d），依据生活污染物排放系数，取0.5kg/人·d。</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ascii="Times New Roman" w:hAnsi="Times New Roman" w:cs="Times New Roman"/>
                <w:snapToGrid w:val="0"/>
                <w:szCs w:val="24"/>
              </w:rPr>
              <w:t>二</w:t>
            </w:r>
            <w:r>
              <w:rPr>
                <w:rFonts w:ascii="Times New Roman" w:hAnsi="Times New Roman" w:cs="Times New Roman"/>
                <w:snapToGrid w:val="0"/>
                <w:szCs w:val="24"/>
              </w:rPr>
              <w:t>期工程</w:t>
            </w:r>
            <w:r>
              <w:rPr>
                <w:rFonts w:hint="eastAsia" w:ascii="Times New Roman" w:hAnsi="Times New Roman" w:cs="Times New Roman"/>
                <w:snapToGrid w:val="0"/>
                <w:szCs w:val="24"/>
              </w:rPr>
              <w:t>新增</w:t>
            </w:r>
            <w:r>
              <w:rPr>
                <w:rFonts w:ascii="Times New Roman" w:hAnsi="Times New Roman" w:cs="Times New Roman"/>
                <w:snapToGrid w:val="0"/>
                <w:szCs w:val="24"/>
              </w:rPr>
              <w:t>劳动定员15人，生活垃圾产生量约0.5kg/人·d，年工作</w:t>
            </w:r>
            <w:r>
              <w:rPr>
                <w:rFonts w:hint="eastAsia" w:ascii="Times New Roman" w:hAnsi="Times New Roman" w:cs="Times New Roman"/>
                <w:snapToGrid w:val="0"/>
                <w:szCs w:val="24"/>
              </w:rPr>
              <w:t>300</w:t>
            </w:r>
            <w:r>
              <w:rPr>
                <w:rFonts w:ascii="Times New Roman" w:hAnsi="Times New Roman" w:cs="Times New Roman"/>
                <w:snapToGrid w:val="0"/>
                <w:szCs w:val="24"/>
              </w:rPr>
              <w:t>天，</w:t>
            </w:r>
            <w:r>
              <w:rPr>
                <w:rFonts w:hint="eastAsia" w:ascii="Times New Roman" w:hAnsi="Times New Roman" w:cs="Times New Roman"/>
                <w:snapToGrid w:val="0"/>
                <w:szCs w:val="24"/>
              </w:rPr>
              <w:t>则</w:t>
            </w:r>
            <w:r>
              <w:rPr>
                <w:rFonts w:ascii="Times New Roman" w:hAnsi="Times New Roman" w:cs="Times New Roman"/>
                <w:snapToGrid w:val="0"/>
                <w:szCs w:val="24"/>
              </w:rPr>
              <w:t>年生活垃圾新增产生量约</w:t>
            </w:r>
            <w:r>
              <w:rPr>
                <w:rFonts w:hint="eastAsia" w:ascii="Times New Roman" w:hAnsi="Times New Roman" w:cs="Times New Roman"/>
                <w:snapToGrid w:val="0"/>
                <w:szCs w:val="24"/>
              </w:rPr>
              <w:t>2.25</w:t>
            </w:r>
            <w:r>
              <w:rPr>
                <w:rFonts w:ascii="Times New Roman" w:hAnsi="Times New Roman" w:cs="Times New Roman"/>
                <w:snapToGrid w:val="0"/>
                <w:szCs w:val="24"/>
              </w:rPr>
              <w:t>t/a。</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G=K×N=15×</w:t>
            </w:r>
            <w:r>
              <w:rPr>
                <w:rFonts w:hint="eastAsia" w:ascii="Times New Roman" w:hAnsi="Times New Roman" w:cs="Times New Roman"/>
                <w:snapToGrid w:val="0"/>
                <w:szCs w:val="24"/>
              </w:rPr>
              <w:t>0.5</w:t>
            </w:r>
            <w:r>
              <w:rPr>
                <w:rFonts w:ascii="Times New Roman" w:hAnsi="Times New Roman" w:cs="Times New Roman"/>
                <w:snapToGrid w:val="0"/>
                <w:szCs w:val="24"/>
              </w:rPr>
              <w:t>×</w:t>
            </w:r>
            <w:r>
              <w:rPr>
                <w:rFonts w:hint="eastAsia" w:ascii="Times New Roman" w:hAnsi="Times New Roman" w:cs="Times New Roman"/>
                <w:snapToGrid w:val="0"/>
                <w:szCs w:val="24"/>
              </w:rPr>
              <w:t>300=2.25t</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生活垃圾经站内垃圾箱集中收集后运往环卫部门指定收集点，不会对外环境产生影响。</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ascii="Times New Roman" w:hAnsi="Times New Roman" w:cs="Times New Roman"/>
                <w:snapToGrid w:val="0"/>
                <w:szCs w:val="24"/>
              </w:rPr>
              <w:t>（2）</w:t>
            </w:r>
            <w:r>
              <w:rPr>
                <w:rFonts w:ascii="Times New Roman" w:hAnsi="Times New Roman" w:cs="Times New Roman"/>
                <w:snapToGrid w:val="0"/>
                <w:szCs w:val="24"/>
              </w:rPr>
              <w:t>边角料、废铁屑及氧化铁皮</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本项目</w:t>
            </w:r>
            <w:r>
              <w:rPr>
                <w:rFonts w:hint="eastAsia" w:ascii="Times New Roman" w:hAnsi="Times New Roman" w:cs="Times New Roman"/>
                <w:snapToGrid w:val="0"/>
                <w:szCs w:val="24"/>
              </w:rPr>
              <w:t>二期工程</w:t>
            </w:r>
            <w:r>
              <w:rPr>
                <w:rFonts w:ascii="Times New Roman" w:hAnsi="Times New Roman" w:cs="Times New Roman"/>
                <w:snapToGrid w:val="0"/>
                <w:szCs w:val="24"/>
              </w:rPr>
              <w:t>生产规模为</w:t>
            </w:r>
            <w:r>
              <w:rPr>
                <w:rFonts w:hint="eastAsia" w:ascii="Times New Roman" w:hAnsi="Times New Roman" w:cs="Times New Roman"/>
                <w:snapToGrid w:val="0"/>
                <w:szCs w:val="24"/>
              </w:rPr>
              <w:t>2</w:t>
            </w:r>
            <w:r>
              <w:rPr>
                <w:rFonts w:ascii="Times New Roman" w:hAnsi="Times New Roman" w:cs="Times New Roman"/>
                <w:snapToGrid w:val="0"/>
                <w:szCs w:val="24"/>
              </w:rPr>
              <w:t>000t/a锻件、法兰，根据建设单位提供，原料/成品综合比值为1.4：1，年需要原料为</w:t>
            </w:r>
            <w:r>
              <w:rPr>
                <w:rFonts w:hint="eastAsia" w:ascii="Times New Roman" w:hAnsi="Times New Roman" w:cs="Times New Roman"/>
                <w:snapToGrid w:val="0"/>
                <w:szCs w:val="24"/>
              </w:rPr>
              <w:t>2800</w:t>
            </w:r>
            <w:r>
              <w:rPr>
                <w:rFonts w:ascii="Times New Roman" w:hAnsi="Times New Roman" w:cs="Times New Roman"/>
                <w:snapToGrid w:val="0"/>
                <w:szCs w:val="24"/>
              </w:rPr>
              <w:t>t/a，生产过程中加热和锻压产生氧化铁皮约</w:t>
            </w:r>
            <w:r>
              <w:rPr>
                <w:rFonts w:hint="eastAsia" w:ascii="Times New Roman" w:hAnsi="Times New Roman" w:cs="Times New Roman"/>
                <w:snapToGrid w:val="0"/>
                <w:szCs w:val="24"/>
              </w:rPr>
              <w:t>150</w:t>
            </w:r>
            <w:r>
              <w:rPr>
                <w:rFonts w:ascii="Times New Roman" w:hAnsi="Times New Roman" w:cs="Times New Roman"/>
                <w:snapToGrid w:val="0"/>
                <w:szCs w:val="24"/>
              </w:rPr>
              <w:t>t/a，废铁屑及边角料产生量为</w:t>
            </w:r>
            <w:r>
              <w:rPr>
                <w:rFonts w:hint="eastAsia" w:ascii="Times New Roman" w:hAnsi="Times New Roman" w:cs="Times New Roman"/>
                <w:snapToGrid w:val="0"/>
                <w:szCs w:val="24"/>
              </w:rPr>
              <w:t>650</w:t>
            </w:r>
            <w:r>
              <w:rPr>
                <w:rFonts w:ascii="Times New Roman" w:hAnsi="Times New Roman" w:cs="Times New Roman"/>
                <w:snapToGrid w:val="0"/>
                <w:szCs w:val="24"/>
              </w:rPr>
              <w:t>t/a。在厂区设置</w:t>
            </w:r>
            <w:r>
              <w:rPr>
                <w:rFonts w:hint="eastAsia" w:ascii="Times New Roman" w:hAnsi="Times New Roman" w:cs="Times New Roman"/>
                <w:snapToGrid w:val="0"/>
                <w:szCs w:val="24"/>
              </w:rPr>
              <w:t>30m</w:t>
            </w:r>
            <w:r>
              <w:rPr>
                <w:rFonts w:hint="eastAsia" w:ascii="Times New Roman" w:hAnsi="Times New Roman" w:cs="Times New Roman"/>
                <w:snapToGrid w:val="0"/>
                <w:szCs w:val="24"/>
                <w:vertAlign w:val="superscript"/>
              </w:rPr>
              <w:t>3</w:t>
            </w:r>
            <w:r>
              <w:rPr>
                <w:rFonts w:hint="eastAsia" w:ascii="Times New Roman" w:hAnsi="Times New Roman" w:cs="Times New Roman"/>
                <w:snapToGrid w:val="0"/>
                <w:szCs w:val="24"/>
              </w:rPr>
              <w:t>固废暂存间</w:t>
            </w:r>
            <w:r>
              <w:rPr>
                <w:rFonts w:ascii="Times New Roman" w:hAnsi="Times New Roman" w:cs="Times New Roman"/>
                <w:snapToGrid w:val="0"/>
                <w:szCs w:val="24"/>
              </w:rPr>
              <w:t>，定期外售给废品回收站。</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ascii="Times New Roman" w:hAnsi="Times New Roman" w:cs="Times New Roman"/>
                <w:snapToGrid w:val="0"/>
                <w:szCs w:val="24"/>
              </w:rPr>
              <w:t>（3）</w:t>
            </w:r>
            <w:r>
              <w:rPr>
                <w:rFonts w:ascii="Times New Roman" w:hAnsi="Times New Roman" w:cs="Times New Roman"/>
                <w:snapToGrid w:val="0"/>
                <w:szCs w:val="24"/>
              </w:rPr>
              <w:t>废塑料、废木板</w:t>
            </w:r>
          </w:p>
          <w:p>
            <w:pPr>
              <w:pStyle w:val="11"/>
              <w:ind w:firstLine="496"/>
              <w:rPr>
                <w:color w:val="auto"/>
              </w:rPr>
            </w:pPr>
            <w:r>
              <w:rPr>
                <w:color w:val="auto"/>
              </w:rPr>
              <w:t>本项目废包装包括废塑料及废木板。产生量约为</w:t>
            </w:r>
            <w:r>
              <w:rPr>
                <w:rFonts w:hint="eastAsia"/>
                <w:color w:val="auto"/>
              </w:rPr>
              <w:t>2</w:t>
            </w:r>
            <w:r>
              <w:rPr>
                <w:color w:val="auto"/>
              </w:rPr>
              <w:t>.0t/a。废包装经收集后综合利用。</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ascii="Times New Roman" w:hAnsi="Times New Roman" w:cs="Times New Roman"/>
                <w:snapToGrid w:val="0"/>
                <w:szCs w:val="24"/>
              </w:rPr>
              <w:t>（4）</w:t>
            </w:r>
            <w:r>
              <w:rPr>
                <w:rFonts w:ascii="Times New Roman" w:hAnsi="Times New Roman" w:cs="Times New Roman"/>
                <w:snapToGrid w:val="0"/>
                <w:szCs w:val="24"/>
              </w:rPr>
              <w:t>危险废物</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①</w:t>
            </w:r>
            <w:r>
              <w:rPr>
                <w:rFonts w:ascii="Times New Roman" w:hAnsi="Times New Roman" w:cs="Times New Roman"/>
                <w:snapToGrid w:val="0"/>
                <w:szCs w:val="24"/>
              </w:rPr>
              <w:t>废乳化液</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项目外购乳化液，用量约为0.</w:t>
            </w:r>
            <w:r>
              <w:rPr>
                <w:rFonts w:hint="eastAsia" w:ascii="Times New Roman" w:hAnsi="Times New Roman" w:cs="Times New Roman"/>
                <w:snapToGrid w:val="0"/>
                <w:szCs w:val="24"/>
              </w:rPr>
              <w:t>2</w:t>
            </w:r>
            <w:r>
              <w:rPr>
                <w:rFonts w:ascii="Times New Roman" w:hAnsi="Times New Roman" w:cs="Times New Roman"/>
                <w:snapToGrid w:val="0"/>
                <w:szCs w:val="24"/>
              </w:rPr>
              <w:t>t/a，经稀释</w:t>
            </w:r>
            <w:r>
              <w:rPr>
                <w:rFonts w:hint="eastAsia" w:ascii="Times New Roman" w:hAnsi="Times New Roman" w:cs="Times New Roman"/>
                <w:snapToGrid w:val="0"/>
                <w:szCs w:val="24"/>
              </w:rPr>
              <w:t>后</w:t>
            </w:r>
            <w:r>
              <w:rPr>
                <w:rFonts w:ascii="Times New Roman" w:hAnsi="Times New Roman" w:cs="Times New Roman"/>
                <w:snapToGrid w:val="0"/>
                <w:szCs w:val="24"/>
              </w:rPr>
              <w:t>，用于</w:t>
            </w:r>
            <w:r>
              <w:rPr>
                <w:rFonts w:hint="eastAsia" w:ascii="Times New Roman" w:hAnsi="Times New Roman" w:cs="Times New Roman"/>
                <w:snapToGrid w:val="0"/>
                <w:szCs w:val="24"/>
              </w:rPr>
              <w:t>润滑</w:t>
            </w:r>
            <w:r>
              <w:rPr>
                <w:rFonts w:ascii="Times New Roman" w:hAnsi="Times New Roman" w:cs="Times New Roman"/>
                <w:snapToGrid w:val="0"/>
                <w:szCs w:val="24"/>
              </w:rPr>
              <w:t>磨损刀具和工件，在设备加工运行过程中，损耗量约为70%，产生的废乳化液为0.</w:t>
            </w:r>
            <w:r>
              <w:rPr>
                <w:rFonts w:hint="eastAsia" w:ascii="Times New Roman" w:hAnsi="Times New Roman" w:cs="Times New Roman"/>
                <w:snapToGrid w:val="0"/>
                <w:szCs w:val="24"/>
              </w:rPr>
              <w:t>2</w:t>
            </w:r>
            <w:r>
              <w:rPr>
                <w:rFonts w:ascii="Times New Roman" w:hAnsi="Times New Roman" w:cs="Times New Roman"/>
                <w:snapToGrid w:val="0"/>
                <w:szCs w:val="24"/>
              </w:rPr>
              <w:t>t/a。</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②</w:t>
            </w:r>
            <w:r>
              <w:rPr>
                <w:rFonts w:ascii="Times New Roman" w:hAnsi="Times New Roman" w:cs="Times New Roman"/>
                <w:snapToGrid w:val="0"/>
                <w:szCs w:val="24"/>
              </w:rPr>
              <w:t>废机油</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项目机油的用量为0.</w:t>
            </w:r>
            <w:r>
              <w:rPr>
                <w:rFonts w:hint="eastAsia" w:ascii="Times New Roman" w:hAnsi="Times New Roman" w:cs="Times New Roman"/>
                <w:snapToGrid w:val="0"/>
                <w:szCs w:val="24"/>
              </w:rPr>
              <w:t>2</w:t>
            </w:r>
            <w:r>
              <w:rPr>
                <w:rFonts w:ascii="Times New Roman" w:hAnsi="Times New Roman" w:cs="Times New Roman"/>
                <w:snapToGrid w:val="0"/>
                <w:szCs w:val="24"/>
              </w:rPr>
              <w:t>t/a，设备运行过程中会损耗一部分，跑、冒、滴、漏还会有少量的损耗，本项目产生的废机油量约为0.</w:t>
            </w:r>
            <w:r>
              <w:rPr>
                <w:rFonts w:hint="eastAsia" w:ascii="Times New Roman" w:hAnsi="Times New Roman" w:cs="Times New Roman"/>
                <w:snapToGrid w:val="0"/>
                <w:szCs w:val="24"/>
              </w:rPr>
              <w:t>1</w:t>
            </w:r>
            <w:r>
              <w:rPr>
                <w:rFonts w:ascii="Times New Roman" w:hAnsi="Times New Roman" w:cs="Times New Roman"/>
                <w:snapToGrid w:val="0"/>
                <w:szCs w:val="24"/>
              </w:rPr>
              <w:t>t/a。</w:t>
            </w:r>
          </w:p>
          <w:p>
            <w:pPr>
              <w:spacing w:line="360" w:lineRule="auto"/>
              <w:ind w:firstLine="480" w:firstLineChars="200"/>
              <w:rPr>
                <w:sz w:val="24"/>
              </w:rPr>
            </w:pPr>
            <w:r>
              <w:rPr>
                <w:sz w:val="24"/>
              </w:rPr>
              <w:t>本评价要求该企业在安全处置危险废物方面做好以下工作：</w:t>
            </w:r>
          </w:p>
          <w:p>
            <w:pPr>
              <w:spacing w:line="360" w:lineRule="auto"/>
              <w:ind w:firstLine="480" w:firstLineChars="200"/>
              <w:rPr>
                <w:bCs/>
                <w:sz w:val="24"/>
              </w:rPr>
            </w:pPr>
            <w:r>
              <w:rPr>
                <w:bCs/>
                <w:sz w:val="24"/>
              </w:rPr>
              <w:t>a.建危险废物贮存专用库房；</w:t>
            </w:r>
          </w:p>
          <w:p>
            <w:pPr>
              <w:spacing w:line="360" w:lineRule="auto"/>
              <w:ind w:firstLine="480" w:firstLineChars="200"/>
              <w:rPr>
                <w:bCs/>
                <w:sz w:val="24"/>
              </w:rPr>
            </w:pPr>
            <w:r>
              <w:rPr>
                <w:bCs/>
                <w:sz w:val="24"/>
              </w:rPr>
              <w:t>b.危废暂存库建成具有防水、防渗、防流失的专用危险废物贮存设施贮存危险废物。贮存设施必须防渗，基础必须防渗，防渗层为至少1米厚粘土层(渗透系数≤10-7cm/s)，或2毫米厚高密度聚乙烯，或至少2毫米厚的其它人工材料，渗透系数≤10-10cm/s。有足够地面承载能力，并能确保雨水不会流至贮存设施内，贮存设施应封闭，以防风、防雨、防日晒。贮存设施内应有安全照明设施及安全防护设施，环工部门应对贮存设施及危险废物进行定期检查；</w:t>
            </w:r>
          </w:p>
          <w:p>
            <w:pPr>
              <w:spacing w:line="360" w:lineRule="auto"/>
              <w:ind w:firstLine="480" w:firstLineChars="200"/>
              <w:rPr>
                <w:bCs/>
                <w:sz w:val="24"/>
              </w:rPr>
            </w:pPr>
            <w:r>
              <w:rPr>
                <w:bCs/>
                <w:sz w:val="24"/>
              </w:rPr>
              <w:t>c.危废暂存间门口必须按规定设置警示标志，危废的容器上必须粘贴符合《危险废物贮存污染控制标准》(GB18597-2001) 及2013年修订的标签；</w:t>
            </w:r>
          </w:p>
          <w:p>
            <w:pPr>
              <w:spacing w:line="360" w:lineRule="auto"/>
              <w:ind w:firstLine="480" w:firstLineChars="200"/>
              <w:rPr>
                <w:bCs/>
                <w:sz w:val="24"/>
              </w:rPr>
            </w:pPr>
            <w:r>
              <w:rPr>
                <w:bCs/>
                <w:sz w:val="24"/>
              </w:rPr>
              <w:t>d.危险废物必须装入符合标准的容器内；</w:t>
            </w:r>
          </w:p>
          <w:p>
            <w:pPr>
              <w:spacing w:line="360" w:lineRule="auto"/>
              <w:ind w:firstLine="480" w:firstLineChars="200"/>
              <w:rPr>
                <w:bCs/>
                <w:sz w:val="24"/>
              </w:rPr>
            </w:pPr>
            <w:r>
              <w:rPr>
                <w:bCs/>
                <w:sz w:val="24"/>
              </w:rPr>
              <w:t>e.容器内必须留足够的空间，容器顶部与液体表面之间保留100mm以上的空间；</w:t>
            </w:r>
          </w:p>
          <w:p>
            <w:pPr>
              <w:spacing w:line="360" w:lineRule="auto"/>
              <w:ind w:firstLine="480" w:firstLineChars="200"/>
              <w:rPr>
                <w:bCs/>
                <w:sz w:val="24"/>
              </w:rPr>
            </w:pPr>
            <w:r>
              <w:rPr>
                <w:bCs/>
                <w:sz w:val="24"/>
              </w:rPr>
              <w:t>f.应设计堵截泄漏的裙脚，地面与裙脚所围建的容积不低于堵截最大容器的最大储量或总储量的1/5；</w:t>
            </w:r>
          </w:p>
          <w:p>
            <w:pPr>
              <w:spacing w:line="360" w:lineRule="auto"/>
              <w:ind w:firstLine="480" w:firstLineChars="200"/>
              <w:rPr>
                <w:bCs/>
                <w:sz w:val="24"/>
              </w:rPr>
            </w:pPr>
            <w:r>
              <w:rPr>
                <w:bCs/>
                <w:sz w:val="24"/>
              </w:rPr>
              <w:t>g.必须定期对所贮存的危险废物包装容器及贮存设施进行检查，发现破损，应及时采取措施清理更换；</w:t>
            </w:r>
          </w:p>
          <w:p>
            <w:pPr>
              <w:spacing w:line="360" w:lineRule="auto"/>
              <w:ind w:firstLine="480" w:firstLineChars="200"/>
              <w:rPr>
                <w:bCs/>
                <w:sz w:val="24"/>
              </w:rPr>
            </w:pPr>
            <w:r>
              <w:rPr>
                <w:bCs/>
                <w:sz w:val="24"/>
              </w:rPr>
              <w:t>h.必须作好危险废物记录，记录上须注明危险废物的名称、来源、数量、特性和包装容器的类别、入库日期、存放库位、废物出库日期及接收单位名称；</w:t>
            </w:r>
          </w:p>
          <w:p>
            <w:pPr>
              <w:spacing w:line="360" w:lineRule="auto"/>
              <w:ind w:firstLine="480" w:firstLineChars="200"/>
              <w:rPr>
                <w:bCs/>
                <w:sz w:val="24"/>
              </w:rPr>
            </w:pPr>
            <w:r>
              <w:rPr>
                <w:bCs/>
                <w:sz w:val="24"/>
              </w:rPr>
              <w:t>危险废物的记录和货单在危险废物回取后应继续保留三年；</w:t>
            </w:r>
          </w:p>
          <w:p>
            <w:pPr>
              <w:spacing w:line="360" w:lineRule="auto"/>
              <w:ind w:firstLine="480" w:firstLineChars="200"/>
              <w:rPr>
                <w:bCs/>
                <w:sz w:val="24"/>
              </w:rPr>
            </w:pPr>
            <w:r>
              <w:rPr>
                <w:bCs/>
                <w:sz w:val="24"/>
              </w:rPr>
              <w:t>i.在转移危险废物前，建设单位须按照国家有关规定报批危险废物转移计划；经批准后，产生单位应当向当地环境保护行政主管部门申请领取国务院环境保护行政主管部门统一制定的联单。并在危险废物转移前三日内报告当地环境保护行政主管部门，并同时将预期到达时间报告接受地环境保护行政主管部门。</w:t>
            </w:r>
          </w:p>
          <w:p>
            <w:pPr>
              <w:spacing w:line="360" w:lineRule="auto"/>
              <w:ind w:firstLine="480" w:firstLineChars="200"/>
              <w:rPr>
                <w:bCs/>
                <w:sz w:val="24"/>
              </w:rPr>
            </w:pPr>
            <w:r>
              <w:rPr>
                <w:bCs/>
                <w:sz w:val="24"/>
              </w:rPr>
              <w:t>j.建设单位必须如实填写联单中产生单位栏目，并加盖公章，经交付危险废物运输单位核实验收签字后，将联单第一联副联自留存档，将联单第二联交当地环境保护“行政主管部门，联单第一联正联及其余各联交付运输单位随危险废物转移运行。</w:t>
            </w:r>
          </w:p>
          <w:p>
            <w:pPr>
              <w:spacing w:line="360" w:lineRule="auto"/>
              <w:ind w:firstLine="480" w:firstLineChars="200"/>
              <w:rPr>
                <w:bCs/>
                <w:sz w:val="24"/>
              </w:rPr>
            </w:pPr>
            <w:r>
              <w:rPr>
                <w:bCs/>
                <w:sz w:val="24"/>
              </w:rPr>
              <w:t>k.联单保存期限为五年；贮存危险废物的，其联单保存期限与危险废物贮存期限相同</w:t>
            </w:r>
          </w:p>
          <w:p>
            <w:pPr>
              <w:spacing w:line="360" w:lineRule="auto"/>
              <w:ind w:firstLine="480" w:firstLineChars="200"/>
              <w:rPr>
                <w:sz w:val="24"/>
              </w:rPr>
            </w:pPr>
            <w:r>
              <w:rPr>
                <w:bCs/>
                <w:sz w:val="24"/>
              </w:rPr>
              <w:t>由上述可见，本项目产生的固体废物均得到合理处置，不会对区域环境质量产生影响。</w:t>
            </w:r>
          </w:p>
          <w:p>
            <w:pPr>
              <w:spacing w:line="360" w:lineRule="auto"/>
              <w:ind w:firstLine="482" w:firstLineChars="200"/>
              <w:rPr>
                <w:b/>
                <w:bCs/>
                <w:sz w:val="24"/>
              </w:rPr>
            </w:pPr>
            <w:r>
              <w:rPr>
                <w:b/>
                <w:bCs/>
                <w:sz w:val="24"/>
              </w:rPr>
              <w:t>五、地下水、土壤影响分析</w:t>
            </w:r>
          </w:p>
          <w:p>
            <w:pPr>
              <w:spacing w:line="360" w:lineRule="auto"/>
              <w:ind w:firstLine="480" w:firstLineChars="200"/>
              <w:rPr>
                <w:sz w:val="24"/>
              </w:rPr>
            </w:pPr>
            <w:r>
              <w:rPr>
                <w:sz w:val="24"/>
              </w:rPr>
              <w:t>1、土壤、地下水</w:t>
            </w:r>
            <w:r>
              <w:rPr>
                <w:rFonts w:hint="eastAsia"/>
                <w:sz w:val="24"/>
              </w:rPr>
              <w:t>污染途径</w:t>
            </w:r>
          </w:p>
          <w:p>
            <w:pPr>
              <w:spacing w:line="360" w:lineRule="auto"/>
              <w:ind w:firstLine="480" w:firstLineChars="200"/>
              <w:rPr>
                <w:sz w:val="24"/>
              </w:rPr>
            </w:pPr>
            <w:r>
              <w:rPr>
                <w:sz w:val="24"/>
              </w:rPr>
              <w:t>本项目对地下水</w:t>
            </w:r>
            <w:r>
              <w:rPr>
                <w:rFonts w:hint="eastAsia"/>
                <w:sz w:val="24"/>
              </w:rPr>
              <w:t>、</w:t>
            </w:r>
            <w:r>
              <w:rPr>
                <w:sz w:val="24"/>
              </w:rPr>
              <w:t>土壤可能造成污染的途径为生产区域机加工车间机油跑</w:t>
            </w:r>
            <w:r>
              <w:rPr>
                <w:rFonts w:hint="eastAsia"/>
                <w:sz w:val="24"/>
              </w:rPr>
              <w:t>、</w:t>
            </w:r>
            <w:r>
              <w:rPr>
                <w:sz w:val="24"/>
              </w:rPr>
              <w:t>冒</w:t>
            </w:r>
            <w:r>
              <w:rPr>
                <w:rFonts w:hint="eastAsia"/>
                <w:sz w:val="24"/>
              </w:rPr>
              <w:t>、</w:t>
            </w:r>
            <w:r>
              <w:rPr>
                <w:sz w:val="24"/>
              </w:rPr>
              <w:t>滴</w:t>
            </w:r>
            <w:r>
              <w:rPr>
                <w:rFonts w:hint="eastAsia"/>
                <w:sz w:val="24"/>
              </w:rPr>
              <w:t>、</w:t>
            </w:r>
            <w:r>
              <w:rPr>
                <w:sz w:val="24"/>
              </w:rPr>
              <w:t>漏以及危废暂存间暂存废机油</w:t>
            </w:r>
            <w:r>
              <w:rPr>
                <w:rFonts w:hint="eastAsia"/>
                <w:sz w:val="24"/>
              </w:rPr>
              <w:t>、</w:t>
            </w:r>
            <w:r>
              <w:rPr>
                <w:sz w:val="24"/>
              </w:rPr>
              <w:t>废乳化液发生</w:t>
            </w:r>
            <w:r>
              <w:rPr>
                <w:rFonts w:hint="eastAsia"/>
                <w:sz w:val="24"/>
              </w:rPr>
              <w:t>泄露两种方式。</w:t>
            </w:r>
          </w:p>
          <w:p>
            <w:pPr>
              <w:spacing w:line="360" w:lineRule="auto"/>
              <w:ind w:firstLine="480" w:firstLineChars="200"/>
              <w:rPr>
                <w:color w:val="000000"/>
                <w:sz w:val="24"/>
              </w:rPr>
            </w:pPr>
            <w:r>
              <w:rPr>
                <w:color w:val="000000"/>
                <w:sz w:val="24"/>
              </w:rPr>
              <w:t>2、保护措施</w:t>
            </w:r>
          </w:p>
          <w:p>
            <w:pPr>
              <w:spacing w:line="360" w:lineRule="auto"/>
              <w:ind w:firstLine="480" w:firstLineChars="200"/>
              <w:rPr>
                <w:color w:val="000000"/>
                <w:sz w:val="24"/>
              </w:rPr>
            </w:pPr>
            <w:r>
              <w:rPr>
                <w:color w:val="000000"/>
                <w:sz w:val="24"/>
              </w:rPr>
              <w:t>（1）源头控制措施</w:t>
            </w:r>
          </w:p>
          <w:p>
            <w:pPr>
              <w:spacing w:line="360" w:lineRule="auto"/>
              <w:ind w:firstLine="480" w:firstLineChars="200"/>
              <w:rPr>
                <w:color w:val="000000"/>
                <w:sz w:val="24"/>
              </w:rPr>
            </w:pPr>
            <w:r>
              <w:rPr>
                <w:rFonts w:hint="eastAsia"/>
                <w:color w:val="000000"/>
                <w:sz w:val="24"/>
              </w:rPr>
              <w:t>对机加工设备进行定期维护保养，减少由于设备故障而导致产生的废机油、废乳化液产生量，并在设备底部设置集油盘对跑、冒、滴、漏产生的废机油进行收集；对危废暂存间采取专人定期巡检制度，采用符合标准的容器暂存危险废物，严防危险废物发生泄漏事故。</w:t>
            </w:r>
          </w:p>
          <w:p>
            <w:pPr>
              <w:spacing w:line="360" w:lineRule="auto"/>
              <w:ind w:firstLine="480" w:firstLineChars="200"/>
              <w:rPr>
                <w:color w:val="000000"/>
                <w:sz w:val="24"/>
              </w:rPr>
            </w:pPr>
            <w:r>
              <w:rPr>
                <w:color w:val="000000"/>
                <w:sz w:val="24"/>
              </w:rPr>
              <w:t>（2）分区防控措施</w:t>
            </w:r>
          </w:p>
          <w:p>
            <w:pPr>
              <w:spacing w:line="360" w:lineRule="auto"/>
              <w:ind w:firstLine="480" w:firstLineChars="200"/>
              <w:jc w:val="left"/>
              <w:rPr>
                <w:bCs/>
                <w:sz w:val="24"/>
              </w:rPr>
            </w:pPr>
            <w:r>
              <w:rPr>
                <w:bCs/>
                <w:sz w:val="24"/>
              </w:rPr>
              <w:t>根据《环境影响评价技术导则 地下水环境》（HJ610-2016），将项目建设场地划分为重点防渗区、一般防渗区、简单防渗区，采取不同等级的防渗方案。</w:t>
            </w:r>
          </w:p>
          <w:p>
            <w:pPr>
              <w:spacing w:line="360" w:lineRule="auto"/>
              <w:ind w:firstLine="480" w:firstLineChars="200"/>
              <w:rPr>
                <w:color w:val="000000"/>
                <w:sz w:val="24"/>
              </w:rPr>
            </w:pPr>
            <w:r>
              <w:rPr>
                <w:rFonts w:hint="eastAsia" w:ascii="宋体" w:hAnsi="宋体" w:cs="宋体"/>
                <w:color w:val="000000"/>
                <w:sz w:val="24"/>
              </w:rPr>
              <w:t>①</w:t>
            </w:r>
            <w:r>
              <w:rPr>
                <w:color w:val="000000"/>
                <w:sz w:val="24"/>
              </w:rPr>
              <w:t>简单防渗区</w:t>
            </w:r>
          </w:p>
          <w:p>
            <w:pPr>
              <w:spacing w:line="360" w:lineRule="auto"/>
              <w:ind w:firstLine="480" w:firstLineChars="200"/>
              <w:rPr>
                <w:color w:val="000000"/>
                <w:sz w:val="24"/>
              </w:rPr>
            </w:pPr>
            <w:r>
              <w:rPr>
                <w:color w:val="000000"/>
                <w:sz w:val="24"/>
              </w:rPr>
              <w:t>办公区、绿化带及场内道路一般不会产生地下水污染的区域为简单防渗区。简单防渗区一般不需要采取防渗措施，仅需对地面进行硬化，为防止污染区的污染物漫流到简单防渗区，需要采取有效的措施，如非污染区设置在地势较高处，或设置一定高度的围堰、边沟等。</w:t>
            </w:r>
          </w:p>
          <w:p>
            <w:pPr>
              <w:spacing w:line="360" w:lineRule="auto"/>
              <w:ind w:firstLine="480" w:firstLineChars="200"/>
              <w:rPr>
                <w:color w:val="000000"/>
                <w:sz w:val="24"/>
              </w:rPr>
            </w:pPr>
            <w:r>
              <w:rPr>
                <w:rFonts w:hint="eastAsia" w:ascii="宋体" w:hAnsi="宋体" w:cs="宋体"/>
                <w:color w:val="000000"/>
                <w:sz w:val="24"/>
              </w:rPr>
              <w:t>②</w:t>
            </w:r>
            <w:r>
              <w:rPr>
                <w:color w:val="000000"/>
                <w:sz w:val="24"/>
              </w:rPr>
              <w:t>一般防渗区</w:t>
            </w:r>
          </w:p>
          <w:p>
            <w:pPr>
              <w:spacing w:line="360" w:lineRule="auto"/>
              <w:ind w:firstLine="480" w:firstLineChars="200"/>
              <w:rPr>
                <w:color w:val="000000"/>
                <w:sz w:val="24"/>
              </w:rPr>
            </w:pPr>
            <w:r>
              <w:rPr>
                <w:color w:val="000000"/>
                <w:sz w:val="24"/>
              </w:rPr>
              <w:t>一般防渗区是对地下水环境有污染的物料或污染物泄露后，可及时发现和处理的区域。一般防渗区包括生产区、固废暂存</w:t>
            </w:r>
            <w:r>
              <w:rPr>
                <w:rFonts w:hint="eastAsia"/>
                <w:color w:val="000000"/>
                <w:sz w:val="24"/>
              </w:rPr>
              <w:t>间</w:t>
            </w:r>
            <w:r>
              <w:rPr>
                <w:color w:val="000000"/>
                <w:sz w:val="24"/>
              </w:rPr>
              <w:t>、旱厕。</w:t>
            </w:r>
          </w:p>
          <w:p>
            <w:pPr>
              <w:spacing w:line="360" w:lineRule="auto"/>
              <w:ind w:firstLine="480" w:firstLineChars="200"/>
              <w:rPr>
                <w:color w:val="000000"/>
                <w:sz w:val="24"/>
              </w:rPr>
            </w:pPr>
            <w:r>
              <w:rPr>
                <w:color w:val="000000"/>
                <w:sz w:val="24"/>
              </w:rPr>
              <w:t>一般防渗区的防渗要求：</w:t>
            </w:r>
          </w:p>
          <w:p>
            <w:pPr>
              <w:spacing w:line="360" w:lineRule="auto"/>
              <w:ind w:firstLine="480" w:firstLineChars="200"/>
              <w:rPr>
                <w:color w:val="000000"/>
                <w:sz w:val="24"/>
              </w:rPr>
            </w:pPr>
            <w:r>
              <w:rPr>
                <w:color w:val="000000"/>
                <w:sz w:val="24"/>
              </w:rPr>
              <w:t>参照《环境影响评价技术导则 地下水环境》（HJ610-2016），防渗性能不应低于1.5m厚渗透系数为1.0×10</w:t>
            </w:r>
            <w:r>
              <w:rPr>
                <w:color w:val="000000"/>
                <w:sz w:val="24"/>
                <w:vertAlign w:val="superscript"/>
              </w:rPr>
              <w:t>-7</w:t>
            </w:r>
            <w:r>
              <w:rPr>
                <w:color w:val="000000"/>
                <w:sz w:val="24"/>
              </w:rPr>
              <w:t>cm/s的黏土层的防渗性能。</w:t>
            </w:r>
          </w:p>
          <w:p>
            <w:pPr>
              <w:spacing w:line="360" w:lineRule="auto"/>
              <w:ind w:firstLine="480" w:firstLineChars="200"/>
              <w:rPr>
                <w:color w:val="000000"/>
                <w:sz w:val="24"/>
              </w:rPr>
            </w:pPr>
            <w:r>
              <w:rPr>
                <w:color w:val="000000"/>
                <w:sz w:val="24"/>
              </w:rPr>
              <w:t>地面防渗层可采用粘土、抗渗混凝土、高密度聚乙烯（HDPE）膜、钠基膨润土防水毯或其他防渗性能等效的材料：</w:t>
            </w:r>
          </w:p>
          <w:p>
            <w:pPr>
              <w:spacing w:line="360" w:lineRule="auto"/>
              <w:ind w:firstLine="480" w:firstLineChars="200"/>
              <w:rPr>
                <w:color w:val="000000"/>
                <w:sz w:val="24"/>
              </w:rPr>
            </w:pPr>
            <w:r>
              <w:rPr>
                <w:color w:val="000000"/>
                <w:sz w:val="24"/>
              </w:rPr>
              <w:t>a采用黏土防渗层是防渗层顶面宜采用混凝土地面或设置不小于200mm的砂石层；</w:t>
            </w:r>
          </w:p>
          <w:p>
            <w:pPr>
              <w:spacing w:line="360" w:lineRule="auto"/>
              <w:ind w:firstLine="480" w:firstLineChars="200"/>
              <w:rPr>
                <w:color w:val="000000"/>
                <w:sz w:val="24"/>
              </w:rPr>
            </w:pPr>
            <w:r>
              <w:rPr>
                <w:color w:val="000000"/>
                <w:sz w:val="24"/>
              </w:rPr>
              <w:t>b采用混凝土防渗层时混凝土的强度等级不应低于C25，抗渗等级不应低于P6，厚度不不应小于100mm；</w:t>
            </w:r>
          </w:p>
          <w:p>
            <w:pPr>
              <w:spacing w:line="360" w:lineRule="auto"/>
              <w:ind w:firstLine="480" w:firstLineChars="200"/>
              <w:rPr>
                <w:color w:val="000000"/>
                <w:sz w:val="24"/>
              </w:rPr>
            </w:pPr>
            <w:r>
              <w:rPr>
                <w:color w:val="000000"/>
                <w:sz w:val="24"/>
              </w:rPr>
              <w:t>c采用高密度聚乙烯（HDPE）膜防渗层，厚度不宜小于1.5mm，埋深不宜小于300mm。膜上、膜下应设置保护层，保护层可采用长丝无纺土工布，膜下保护层也可采用不含尖锐颗粒的砂层，厚度不宜小于100mm。膜上保护层以上应设置砂石层，厚度不宜小于200mm。</w:t>
            </w:r>
          </w:p>
          <w:p>
            <w:pPr>
              <w:spacing w:line="360" w:lineRule="auto"/>
              <w:jc w:val="center"/>
              <w:rPr>
                <w:color w:val="000000"/>
                <w:sz w:val="24"/>
              </w:rPr>
            </w:pPr>
            <w:r>
              <w:rPr>
                <w:szCs w:val="21"/>
                <w:lang w:bidi="mn-Mong-CN"/>
              </w:rPr>
              <w:drawing>
                <wp:inline distT="0" distB="0" distL="0" distR="0">
                  <wp:extent cx="4018915" cy="2837180"/>
                  <wp:effectExtent l="0" t="0" r="635" b="1270"/>
                  <wp:docPr id="258" name="图片 258" descr="C:\Users\Administrator\AppData\Roaming\Tencent\Users\344082724\QQ\WinTemp\RichOle\WX]}8N]SDDZ7W{5[21]V](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C:\Users\Administrator\AppData\Roaming\Tencent\Users\344082724\QQ\WinTemp\RichOle\WX]}8N]SDDZ7W{5[21]V](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011452" cy="2831886"/>
                          </a:xfrm>
                          <a:prstGeom prst="rect">
                            <a:avLst/>
                          </a:prstGeom>
                          <a:noFill/>
                          <a:ln>
                            <a:noFill/>
                          </a:ln>
                        </pic:spPr>
                      </pic:pic>
                    </a:graphicData>
                  </a:graphic>
                </wp:inline>
              </w:drawing>
            </w:r>
          </w:p>
          <w:p>
            <w:pPr>
              <w:spacing w:line="360" w:lineRule="auto"/>
              <w:ind w:firstLine="422" w:firstLineChars="200"/>
              <w:jc w:val="center"/>
              <w:rPr>
                <w:b/>
                <w:bCs/>
                <w:szCs w:val="21"/>
              </w:rPr>
            </w:pPr>
            <w:r>
              <w:rPr>
                <w:b/>
                <w:bCs/>
                <w:szCs w:val="21"/>
              </w:rPr>
              <w:t>图</w:t>
            </w:r>
            <w:r>
              <w:rPr>
                <w:rFonts w:hint="eastAsia"/>
                <w:b/>
                <w:bCs/>
                <w:szCs w:val="21"/>
              </w:rPr>
              <w:t>8  一般</w:t>
            </w:r>
            <w:r>
              <w:rPr>
                <w:b/>
                <w:bCs/>
                <w:szCs w:val="21"/>
              </w:rPr>
              <w:t>防渗区区域基础防渗结构示意图</w:t>
            </w:r>
          </w:p>
          <w:p>
            <w:pPr>
              <w:spacing w:line="360" w:lineRule="auto"/>
              <w:ind w:firstLine="480" w:firstLineChars="200"/>
              <w:rPr>
                <w:color w:val="000000"/>
                <w:sz w:val="24"/>
              </w:rPr>
            </w:pPr>
            <w:r>
              <w:rPr>
                <w:rFonts w:hint="eastAsia" w:ascii="宋体" w:hAnsi="宋体" w:cs="宋体"/>
                <w:color w:val="000000"/>
                <w:sz w:val="24"/>
              </w:rPr>
              <w:t>③</w:t>
            </w:r>
            <w:r>
              <w:rPr>
                <w:color w:val="000000"/>
                <w:sz w:val="24"/>
              </w:rPr>
              <w:t>重点防渗区</w:t>
            </w:r>
          </w:p>
          <w:p>
            <w:pPr>
              <w:spacing w:line="360" w:lineRule="auto"/>
              <w:ind w:firstLine="480" w:firstLineChars="200"/>
              <w:rPr>
                <w:color w:val="000000"/>
                <w:sz w:val="24"/>
              </w:rPr>
            </w:pPr>
            <w:r>
              <w:rPr>
                <w:color w:val="000000"/>
                <w:sz w:val="24"/>
              </w:rPr>
              <w:t>重点防渗区指污染地下水环境的物料泄露不容易及时发现和处理的区域，主要为危废暂存间。</w:t>
            </w:r>
          </w:p>
          <w:p>
            <w:pPr>
              <w:spacing w:line="360" w:lineRule="auto"/>
              <w:ind w:firstLine="480" w:firstLineChars="200"/>
              <w:rPr>
                <w:color w:val="000000"/>
                <w:sz w:val="24"/>
              </w:rPr>
            </w:pPr>
            <w:r>
              <w:rPr>
                <w:color w:val="000000"/>
                <w:sz w:val="24"/>
              </w:rPr>
              <w:t>重点防渗区的防渗要求参照《环境影响评价技术导则 地下水环境》（HJ610-2016），防渗性能不应低于6.0m厚渗透系数为1.0</w:t>
            </w:r>
            <w:r>
              <w:rPr>
                <w:rFonts w:eastAsia="仿宋"/>
                <w:color w:val="000000"/>
                <w:sz w:val="24"/>
              </w:rPr>
              <w:t>×10</w:t>
            </w:r>
            <w:r>
              <w:rPr>
                <w:rFonts w:eastAsia="仿宋"/>
                <w:color w:val="000000"/>
                <w:sz w:val="24"/>
                <w:vertAlign w:val="superscript"/>
              </w:rPr>
              <w:t>-7</w:t>
            </w:r>
            <w:r>
              <w:rPr>
                <w:rFonts w:eastAsia="仿宋"/>
                <w:color w:val="000000"/>
                <w:sz w:val="24"/>
              </w:rPr>
              <w:t>c</w:t>
            </w:r>
            <w:r>
              <w:rPr>
                <w:color w:val="000000"/>
                <w:sz w:val="24"/>
              </w:rPr>
              <w:t>m/s的粘土层的防渗性能。</w:t>
            </w:r>
          </w:p>
          <w:p>
            <w:pPr>
              <w:spacing w:line="360" w:lineRule="auto"/>
              <w:jc w:val="center"/>
              <w:rPr>
                <w:color w:val="000000"/>
                <w:sz w:val="24"/>
              </w:rPr>
            </w:pPr>
            <w:r>
              <w:rPr>
                <w:szCs w:val="21"/>
                <w:lang w:bidi="mn-Mong-CN"/>
              </w:rPr>
              <w:drawing>
                <wp:inline distT="0" distB="0" distL="0" distR="0">
                  <wp:extent cx="3943350" cy="2990850"/>
                  <wp:effectExtent l="0" t="0" r="0" b="0"/>
                  <wp:docPr id="259" name="图片 259" descr="C:\Users\Administrator\AppData\Roaming\Tencent\Users\344082724\QQ\WinTemp\RichOle\51D]EB)ONGXH[S2C0}31QP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C:\Users\Administrator\AppData\Roaming\Tencent\Users\344082724\QQ\WinTemp\RichOle\51D]EB)ONGXH[S2C0}31QPR.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953656" cy="2998747"/>
                          </a:xfrm>
                          <a:prstGeom prst="rect">
                            <a:avLst/>
                          </a:prstGeom>
                          <a:noFill/>
                          <a:ln>
                            <a:noFill/>
                          </a:ln>
                        </pic:spPr>
                      </pic:pic>
                    </a:graphicData>
                  </a:graphic>
                </wp:inline>
              </w:drawing>
            </w:r>
          </w:p>
          <w:p>
            <w:pPr>
              <w:spacing w:line="360" w:lineRule="auto"/>
              <w:ind w:firstLine="422" w:firstLineChars="200"/>
              <w:jc w:val="center"/>
              <w:rPr>
                <w:b/>
                <w:bCs/>
                <w:szCs w:val="21"/>
              </w:rPr>
            </w:pPr>
            <w:r>
              <w:rPr>
                <w:b/>
                <w:bCs/>
                <w:szCs w:val="21"/>
              </w:rPr>
              <w:t>图</w:t>
            </w:r>
            <w:r>
              <w:rPr>
                <w:rFonts w:hint="eastAsia"/>
                <w:b/>
                <w:bCs/>
                <w:szCs w:val="21"/>
              </w:rPr>
              <w:t xml:space="preserve">9  </w:t>
            </w:r>
            <w:r>
              <w:rPr>
                <w:b/>
                <w:bCs/>
                <w:szCs w:val="21"/>
              </w:rPr>
              <w:t>重点防渗区区域基础防渗结构示意图</w:t>
            </w:r>
          </w:p>
          <w:p>
            <w:pPr>
              <w:spacing w:line="360" w:lineRule="auto"/>
              <w:rPr>
                <w:b/>
                <w:sz w:val="24"/>
              </w:rPr>
            </w:pPr>
            <w:r>
              <w:rPr>
                <w:b/>
                <w:sz w:val="24"/>
              </w:rPr>
              <w:t>六、环境风险影响分析</w:t>
            </w:r>
          </w:p>
          <w:p>
            <w:pPr>
              <w:spacing w:line="360" w:lineRule="auto"/>
              <w:ind w:firstLine="480" w:firstLineChars="200"/>
              <w:rPr>
                <w:bCs/>
                <w:sz w:val="24"/>
              </w:rPr>
            </w:pPr>
            <w:r>
              <w:rPr>
                <w:bCs/>
                <w:sz w:val="24"/>
              </w:rPr>
              <w:t>1、风险识别与分析</w:t>
            </w:r>
          </w:p>
          <w:p>
            <w:pPr>
              <w:spacing w:line="360" w:lineRule="auto"/>
              <w:ind w:firstLine="480" w:firstLineChars="200"/>
              <w:rPr>
                <w:bCs/>
                <w:sz w:val="24"/>
              </w:rPr>
            </w:pPr>
            <w:r>
              <w:rPr>
                <w:bCs/>
                <w:sz w:val="24"/>
              </w:rPr>
              <w:t>根据调查，本项目风险源为废机油、废乳化液和天然气。</w:t>
            </w:r>
          </w:p>
          <w:p>
            <w:pPr>
              <w:spacing w:line="360" w:lineRule="auto"/>
              <w:ind w:firstLine="480" w:firstLineChars="200"/>
              <w:rPr>
                <w:bCs/>
                <w:sz w:val="24"/>
              </w:rPr>
            </w:pPr>
            <w:r>
              <w:rPr>
                <w:bCs/>
                <w:sz w:val="24"/>
              </w:rPr>
              <w:t>废机油、废乳化液暂存量一般为</w:t>
            </w:r>
            <w:r>
              <w:rPr>
                <w:rFonts w:hint="eastAsia"/>
                <w:bCs/>
                <w:sz w:val="24"/>
              </w:rPr>
              <w:t>0.45</w:t>
            </w:r>
            <w:r>
              <w:rPr>
                <w:bCs/>
                <w:sz w:val="24"/>
              </w:rPr>
              <w:t>t/a，根据《建设项目环境风险评价技术导则》（HJ169-2018），油类物质临界储存量为2500t，不构成重大风险源。建设单位在厂区西南角设置10m</w:t>
            </w:r>
            <w:r>
              <w:rPr>
                <w:bCs/>
                <w:sz w:val="24"/>
                <w:vertAlign w:val="superscript"/>
              </w:rPr>
              <w:t>2</w:t>
            </w:r>
            <w:r>
              <w:rPr>
                <w:bCs/>
                <w:sz w:val="24"/>
              </w:rPr>
              <w:t>危险废物暂存间一间，并应设专人对设备进行维护、保养，收集废机油置于符合标准的容器内，储存于危险废物暂存间，定期交有资质单位处理。</w:t>
            </w:r>
          </w:p>
          <w:p>
            <w:pPr>
              <w:spacing w:line="360" w:lineRule="auto"/>
              <w:ind w:firstLine="480" w:firstLineChars="200"/>
              <w:rPr>
                <w:bCs/>
                <w:sz w:val="24"/>
              </w:rPr>
            </w:pPr>
            <w:r>
              <w:rPr>
                <w:bCs/>
                <w:sz w:val="24"/>
              </w:rPr>
              <w:t>天然气主要成分是CH</w:t>
            </w:r>
            <w:r>
              <w:rPr>
                <w:bCs/>
                <w:sz w:val="24"/>
                <w:vertAlign w:val="subscript"/>
              </w:rPr>
              <w:t>4</w:t>
            </w:r>
            <w:r>
              <w:rPr>
                <w:bCs/>
                <w:sz w:val="24"/>
              </w:rPr>
              <w:t>，根据《建设项目环境风险评价技术导则》（HJ169-2018），CH</w:t>
            </w:r>
            <w:r>
              <w:rPr>
                <w:bCs/>
                <w:sz w:val="24"/>
                <w:vertAlign w:val="subscript"/>
              </w:rPr>
              <w:t>4</w:t>
            </w:r>
            <w:r>
              <w:rPr>
                <w:bCs/>
                <w:sz w:val="24"/>
              </w:rPr>
              <w:t>临界储存量为10t，管道内的天然气量远远小于临界量，不构成重大风险源。企业在日常生产运行过程中应加强安全防范意识，保障生产设施稳定运行，定期对天然气输送管道和阀门进行巡检，建立健全安全生产和环境管理制度。</w:t>
            </w:r>
          </w:p>
          <w:p>
            <w:pPr>
              <w:spacing w:line="360" w:lineRule="auto"/>
              <w:ind w:firstLine="480" w:firstLineChars="200"/>
              <w:rPr>
                <w:bCs/>
                <w:sz w:val="24"/>
              </w:rPr>
            </w:pPr>
            <w:r>
              <w:rPr>
                <w:bCs/>
                <w:sz w:val="24"/>
              </w:rPr>
              <w:t>2、风险影响途径</w:t>
            </w:r>
          </w:p>
          <w:p>
            <w:pPr>
              <w:spacing w:line="360" w:lineRule="auto"/>
              <w:ind w:firstLine="480" w:firstLineChars="200"/>
              <w:rPr>
                <w:bCs/>
                <w:sz w:val="24"/>
              </w:rPr>
            </w:pPr>
            <w:r>
              <w:rPr>
                <w:bCs/>
                <w:sz w:val="24"/>
              </w:rPr>
              <w:t>废机油、废乳化液可能会发生泄漏事故，对周围的土壤及地下水造成污染。事故情况下，废机油、废乳化液发生泄漏，污染范围可控制在危险废物暂存间，即时清理后，不会对外环境造成影响。</w:t>
            </w:r>
          </w:p>
          <w:p>
            <w:pPr>
              <w:spacing w:line="360" w:lineRule="auto"/>
              <w:ind w:firstLine="480" w:firstLineChars="200"/>
              <w:rPr>
                <w:bCs/>
                <w:sz w:val="24"/>
              </w:rPr>
            </w:pPr>
            <w:r>
              <w:rPr>
                <w:bCs/>
                <w:sz w:val="24"/>
              </w:rPr>
              <w:t>天然气泄露事故主要为事故排放，事故排放时局部大气中甲烷浓度可比正常情况高出数倍甚至数十倍，由于比重比空气轻，会很快散发，只会对近距离的大气环境造成短时间的影响。同时甲烷为温室气体，事故排放的对局域气候影响较小。</w:t>
            </w:r>
          </w:p>
          <w:p>
            <w:pPr>
              <w:spacing w:line="360" w:lineRule="auto"/>
              <w:ind w:firstLine="480" w:firstLineChars="200"/>
              <w:rPr>
                <w:bCs/>
                <w:sz w:val="24"/>
              </w:rPr>
            </w:pPr>
            <w:r>
              <w:rPr>
                <w:bCs/>
                <w:sz w:val="24"/>
              </w:rPr>
              <w:t>3、风险防控措施</w:t>
            </w:r>
          </w:p>
          <w:p>
            <w:pPr>
              <w:spacing w:line="360" w:lineRule="auto"/>
              <w:ind w:firstLine="480" w:firstLineChars="200"/>
              <w:rPr>
                <w:bCs/>
                <w:sz w:val="24"/>
              </w:rPr>
            </w:pPr>
            <w:r>
              <w:rPr>
                <w:bCs/>
                <w:sz w:val="24"/>
              </w:rPr>
              <w:t>（1）危险废物暂存间</w:t>
            </w:r>
          </w:p>
          <w:p>
            <w:pPr>
              <w:spacing w:line="360" w:lineRule="auto"/>
              <w:ind w:firstLine="480" w:firstLineChars="200"/>
              <w:rPr>
                <w:bCs/>
                <w:sz w:val="24"/>
              </w:rPr>
            </w:pPr>
            <w:r>
              <w:rPr>
                <w:rFonts w:hint="eastAsia" w:ascii="宋体" w:hAnsi="宋体" w:cs="宋体"/>
                <w:bCs/>
                <w:sz w:val="24"/>
              </w:rPr>
              <w:t>①</w:t>
            </w:r>
            <w:r>
              <w:rPr>
                <w:bCs/>
                <w:sz w:val="24"/>
              </w:rPr>
              <w:t>按要求进行防风、防雨、防晒、防渗漏等措施，对地面及裙角进行了防渗，防渗性能不应低于6.0m厚渗透系数为1.0×10</w:t>
            </w:r>
            <w:r>
              <w:rPr>
                <w:bCs/>
                <w:sz w:val="24"/>
                <w:vertAlign w:val="superscript"/>
              </w:rPr>
              <w:t>-7</w:t>
            </w:r>
            <w:r>
              <w:rPr>
                <w:bCs/>
                <w:sz w:val="24"/>
              </w:rPr>
              <w:t>cm/s的粘土层的防渗性能。</w:t>
            </w:r>
          </w:p>
          <w:p>
            <w:pPr>
              <w:spacing w:line="360" w:lineRule="auto"/>
              <w:ind w:firstLine="480" w:firstLineChars="200"/>
              <w:rPr>
                <w:bCs/>
                <w:sz w:val="24"/>
              </w:rPr>
            </w:pPr>
            <w:r>
              <w:rPr>
                <w:rFonts w:hint="eastAsia" w:ascii="宋体" w:hAnsi="宋体" w:cs="宋体"/>
                <w:bCs/>
                <w:sz w:val="24"/>
              </w:rPr>
              <w:t>②</w:t>
            </w:r>
            <w:r>
              <w:rPr>
                <w:bCs/>
                <w:sz w:val="24"/>
              </w:rPr>
              <w:t>危废暂存间内设有防治流体流散的设施和集油（水）坑，地面按5‰坡度坡向集油坑，室内地面较大门下口低0.1m，地面为不发火混凝土地面，门、窗采用防火门窗，窗台距室内地面高度为1.8m。</w:t>
            </w:r>
          </w:p>
          <w:p>
            <w:pPr>
              <w:spacing w:line="360" w:lineRule="auto"/>
              <w:ind w:firstLine="480" w:firstLineChars="200"/>
              <w:rPr>
                <w:bCs/>
                <w:sz w:val="24"/>
              </w:rPr>
            </w:pPr>
            <w:r>
              <w:rPr>
                <w:rFonts w:hint="eastAsia" w:ascii="宋体" w:hAnsi="宋体" w:cs="宋体"/>
                <w:bCs/>
                <w:sz w:val="24"/>
              </w:rPr>
              <w:t>③</w:t>
            </w:r>
            <w:r>
              <w:rPr>
                <w:bCs/>
                <w:sz w:val="24"/>
              </w:rPr>
              <w:t>设立标志，加强巡检，防止人为破坏。建成运营后，要提高操作人员的素质和管理水平，防止或减少事故风险的发生，确保危废暂存间的的正常运行。</w:t>
            </w:r>
          </w:p>
          <w:p>
            <w:pPr>
              <w:spacing w:line="360" w:lineRule="auto"/>
              <w:ind w:firstLine="480" w:firstLineChars="200"/>
              <w:rPr>
                <w:bCs/>
                <w:sz w:val="24"/>
              </w:rPr>
            </w:pPr>
            <w:r>
              <w:rPr>
                <w:rFonts w:hint="eastAsia" w:ascii="宋体" w:hAnsi="宋体" w:cs="宋体"/>
                <w:bCs/>
                <w:sz w:val="24"/>
              </w:rPr>
              <w:t>④</w:t>
            </w:r>
            <w:r>
              <w:rPr>
                <w:bCs/>
                <w:sz w:val="24"/>
              </w:rPr>
              <w:t>发生泄漏时，应急人员应立即开展应急抢险工作，用工具围堵油品，防止扩散，紧急回收，同时在现场布置消防器材。</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ascii="Times New Roman" w:hAnsi="Times New Roman" w:cs="Times New Roman"/>
                <w:snapToGrid w:val="0"/>
                <w:szCs w:val="24"/>
              </w:rPr>
              <w:t>（2）天然气</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①</w:t>
            </w:r>
            <w:r>
              <w:rPr>
                <w:rFonts w:ascii="Times New Roman" w:hAnsi="Times New Roman" w:cs="Times New Roman"/>
                <w:snapToGrid w:val="0"/>
                <w:szCs w:val="24"/>
              </w:rPr>
              <w:t>天然气输送管线必须选用符合国家标准和要求的管材，并有日常检查制度。</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②</w:t>
            </w:r>
            <w:r>
              <w:rPr>
                <w:rFonts w:ascii="Times New Roman" w:hAnsi="Times New Roman" w:cs="Times New Roman"/>
                <w:snapToGrid w:val="0"/>
                <w:szCs w:val="24"/>
              </w:rPr>
              <w:t>施工时地下燃气管道与构筑物或相邻管道之间垂直净距要严格按照国家有关规定执行。</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③</w:t>
            </w:r>
            <w:r>
              <w:rPr>
                <w:rFonts w:ascii="Times New Roman" w:hAnsi="Times New Roman" w:cs="Times New Roman"/>
                <w:snapToGrid w:val="0"/>
                <w:szCs w:val="24"/>
              </w:rPr>
              <w:t>天然气管道要采取防腐处理和阴极保护措施。</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④</w:t>
            </w:r>
            <w:r>
              <w:rPr>
                <w:rFonts w:ascii="Times New Roman" w:hAnsi="Times New Roman" w:cs="Times New Roman"/>
                <w:snapToGrid w:val="0"/>
                <w:szCs w:val="24"/>
              </w:rPr>
              <w:t>对施工队伍要选择专业的施工队伍，保证质量，配备有经验的监理人员对施工质量进行全方位监督。</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cs="宋体"/>
                <w:snapToGrid w:val="0"/>
                <w:szCs w:val="24"/>
              </w:rPr>
              <w:t>⑤</w:t>
            </w:r>
            <w:r>
              <w:rPr>
                <w:rFonts w:ascii="Times New Roman" w:hAnsi="Times New Roman" w:cs="Times New Roman"/>
                <w:snapToGrid w:val="0"/>
                <w:szCs w:val="24"/>
              </w:rPr>
              <w:t>提高人员素质，加强责任心教育，完善有关操作条例来防止人为因素引发的事故。</w:t>
            </w:r>
          </w:p>
          <w:p>
            <w:pPr>
              <w:spacing w:line="360" w:lineRule="auto"/>
              <w:rPr>
                <w:b/>
                <w:sz w:val="24"/>
              </w:rPr>
            </w:pPr>
            <w:r>
              <w:rPr>
                <w:b/>
                <w:sz w:val="24"/>
              </w:rPr>
              <w:t>七、</w:t>
            </w:r>
            <w:r>
              <w:rPr>
                <w:rFonts w:hint="eastAsia"/>
                <w:b/>
                <w:sz w:val="24"/>
              </w:rPr>
              <w:t>“三本账”分析</w:t>
            </w:r>
          </w:p>
          <w:p>
            <w:pPr>
              <w:pStyle w:val="10"/>
              <w:spacing w:before="0" w:beforeAutospacing="0" w:after="0" w:afterAutospacing="0" w:line="360" w:lineRule="auto"/>
              <w:ind w:firstLine="480" w:firstLineChars="200"/>
              <w:jc w:val="both"/>
              <w:outlineLvl w:val="0"/>
              <w:rPr>
                <w:rFonts w:ascii="Times New Roman" w:hAnsi="Times New Roman" w:cs="Times New Roman"/>
                <w:snapToGrid w:val="0"/>
                <w:szCs w:val="24"/>
              </w:rPr>
            </w:pPr>
            <w:r>
              <w:rPr>
                <w:rFonts w:hint="eastAsia" w:ascii="Times New Roman" w:hAnsi="Times New Roman" w:cs="Times New Roman"/>
                <w:snapToGrid w:val="0"/>
                <w:szCs w:val="24"/>
              </w:rPr>
              <w:t>项目“三本账”见下表。</w:t>
            </w:r>
          </w:p>
          <w:p>
            <w:pPr>
              <w:spacing w:line="360" w:lineRule="auto"/>
              <w:jc w:val="center"/>
              <w:rPr>
                <w:b/>
                <w:szCs w:val="21"/>
              </w:rPr>
            </w:pPr>
          </w:p>
          <w:p>
            <w:pPr>
              <w:spacing w:line="360" w:lineRule="auto"/>
              <w:jc w:val="center"/>
              <w:rPr>
                <w:b/>
                <w:szCs w:val="21"/>
              </w:rPr>
            </w:pPr>
          </w:p>
          <w:p>
            <w:pPr>
              <w:spacing w:line="360" w:lineRule="auto"/>
              <w:jc w:val="center"/>
              <w:rPr>
                <w:b/>
                <w:szCs w:val="21"/>
              </w:rPr>
            </w:pPr>
            <w:r>
              <w:rPr>
                <w:b/>
                <w:szCs w:val="21"/>
              </w:rPr>
              <w:t>表</w:t>
            </w:r>
            <w:r>
              <w:rPr>
                <w:rFonts w:hint="eastAsia"/>
                <w:b/>
                <w:szCs w:val="21"/>
              </w:rPr>
              <w:t>38</w:t>
            </w:r>
            <w:r>
              <w:rPr>
                <w:b/>
                <w:szCs w:val="21"/>
              </w:rPr>
              <w:t xml:space="preserve">  </w:t>
            </w:r>
            <w:r>
              <w:rPr>
                <w:rFonts w:hint="eastAsia"/>
                <w:b/>
                <w:szCs w:val="21"/>
              </w:rPr>
              <w:t>扩建前后污染物排放“三本账”汇总表</w:t>
            </w:r>
          </w:p>
          <w:tbl>
            <w:tblPr>
              <w:tblStyle w:val="13"/>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34"/>
              <w:gridCol w:w="1144"/>
              <w:gridCol w:w="1417"/>
              <w:gridCol w:w="1057"/>
              <w:gridCol w:w="1057"/>
              <w:gridCol w:w="1057"/>
              <w:gridCol w:w="1057"/>
              <w:gridCol w:w="10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1578" w:type="dxa"/>
                  <w:gridSpan w:val="2"/>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污染源</w:t>
                  </w:r>
                </w:p>
              </w:tc>
              <w:tc>
                <w:tcPr>
                  <w:tcW w:w="141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污染物</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现有工程排放量t/a</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以新代老削减量t/a</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扩建项目排放量t/a</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扩建后全厂排放量t/a</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增减量t/a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1578" w:type="dxa"/>
                  <w:gridSpan w:val="2"/>
                  <w:vMerge w:val="restart"/>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废气</w:t>
                  </w:r>
                </w:p>
              </w:tc>
              <w:tc>
                <w:tcPr>
                  <w:tcW w:w="141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烟尘</w:t>
                  </w:r>
                </w:p>
              </w:tc>
              <w:tc>
                <w:tcPr>
                  <w:tcW w:w="1057" w:type="dxa"/>
                  <w:vAlign w:val="center"/>
                </w:tcPr>
                <w:p>
                  <w:pPr>
                    <w:adjustRightInd w:val="0"/>
                    <w:snapToGrid w:val="0"/>
                    <w:jc w:val="center"/>
                    <w:rPr>
                      <w:bCs/>
                      <w:lang w:bidi="mn-Mong-CN"/>
                    </w:rPr>
                  </w:pPr>
                  <w:r>
                    <w:rPr>
                      <w:bCs/>
                      <w:lang w:bidi="mn-Mong-CN"/>
                    </w:rPr>
                    <w:t>1.225</w:t>
                  </w:r>
                </w:p>
              </w:tc>
              <w:tc>
                <w:tcPr>
                  <w:tcW w:w="1057" w:type="dxa"/>
                  <w:vAlign w:val="center"/>
                </w:tcPr>
                <w:p>
                  <w:pPr>
                    <w:adjustRightInd w:val="0"/>
                    <w:snapToGrid w:val="0"/>
                    <w:jc w:val="center"/>
                    <w:rPr>
                      <w:bCs/>
                      <w:lang w:bidi="mn-Mong-CN"/>
                    </w:rPr>
                  </w:pPr>
                  <w:r>
                    <w:rPr>
                      <w:bCs/>
                      <w:lang w:bidi="mn-Mong-CN"/>
                    </w:rPr>
                    <w:t>1.225</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0.078</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0.078</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-1.147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1578" w:type="dxa"/>
                  <w:gridSpan w:val="2"/>
                  <w:vMerge w:val="continue"/>
                  <w:vAlign w:val="center"/>
                </w:tcPr>
                <w:p>
                  <w:pPr>
                    <w:pStyle w:val="10"/>
                    <w:spacing w:before="0" w:beforeAutospacing="0" w:after="0" w:afterAutospacing="0"/>
                    <w:jc w:val="center"/>
                    <w:outlineLvl w:val="0"/>
                    <w:rPr>
                      <w:rFonts w:ascii="Times New Roman" w:hAnsi="Times New Roman" w:cs="Times New Roman"/>
                      <w:snapToGrid w:val="0"/>
                      <w:sz w:val="21"/>
                      <w:szCs w:val="21"/>
                    </w:rPr>
                  </w:pPr>
                </w:p>
              </w:tc>
              <w:tc>
                <w:tcPr>
                  <w:tcW w:w="1417" w:type="dxa"/>
                  <w:vAlign w:val="center"/>
                </w:tcPr>
                <w:p>
                  <w:pPr>
                    <w:pStyle w:val="10"/>
                    <w:spacing w:before="0" w:beforeAutospacing="0" w:after="0" w:afterAutospacing="0"/>
                    <w:jc w:val="center"/>
                    <w:outlineLvl w:val="0"/>
                    <w:rPr>
                      <w:rFonts w:ascii="Times New Roman" w:hAnsi="Times New Roman" w:cs="Times New Roman"/>
                      <w:snapToGrid w:val="0"/>
                      <w:sz w:val="21"/>
                      <w:szCs w:val="21"/>
                      <w:vertAlign w:val="subscript"/>
                    </w:rPr>
                  </w:pPr>
                  <w:r>
                    <w:rPr>
                      <w:rFonts w:hint="eastAsia" w:ascii="Times New Roman" w:hAnsi="Times New Roman" w:cs="Times New Roman"/>
                      <w:snapToGrid w:val="0"/>
                      <w:sz w:val="21"/>
                      <w:szCs w:val="21"/>
                    </w:rPr>
                    <w:t>SO</w:t>
                  </w:r>
                  <w:r>
                    <w:rPr>
                      <w:rFonts w:hint="eastAsia" w:ascii="Times New Roman" w:hAnsi="Times New Roman" w:cs="Times New Roman"/>
                      <w:snapToGrid w:val="0"/>
                      <w:sz w:val="21"/>
                      <w:szCs w:val="21"/>
                      <w:vertAlign w:val="subscript"/>
                    </w:rPr>
                    <w:t>2</w:t>
                  </w:r>
                </w:p>
              </w:tc>
              <w:tc>
                <w:tcPr>
                  <w:tcW w:w="1057" w:type="dxa"/>
                  <w:vAlign w:val="center"/>
                </w:tcPr>
                <w:p>
                  <w:pPr>
                    <w:adjustRightInd w:val="0"/>
                    <w:snapToGrid w:val="0"/>
                    <w:jc w:val="center"/>
                    <w:rPr>
                      <w:bCs/>
                      <w:lang w:bidi="mn-Mong-CN"/>
                    </w:rPr>
                  </w:pPr>
                  <w:r>
                    <w:rPr>
                      <w:bCs/>
                      <w:lang w:bidi="mn-Mong-CN"/>
                    </w:rPr>
                    <w:t>5</w:t>
                  </w:r>
                </w:p>
              </w:tc>
              <w:tc>
                <w:tcPr>
                  <w:tcW w:w="1057" w:type="dxa"/>
                  <w:vAlign w:val="center"/>
                </w:tcPr>
                <w:p>
                  <w:pPr>
                    <w:adjustRightInd w:val="0"/>
                    <w:snapToGrid w:val="0"/>
                    <w:jc w:val="center"/>
                    <w:rPr>
                      <w:bCs/>
                      <w:lang w:bidi="mn-Mong-CN"/>
                    </w:rPr>
                  </w:pPr>
                  <w:r>
                    <w:rPr>
                      <w:bCs/>
                      <w:lang w:bidi="mn-Mong-CN"/>
                    </w:rPr>
                    <w:t>5</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0.012</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0.012</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-4.988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1578" w:type="dxa"/>
                  <w:gridSpan w:val="2"/>
                  <w:vMerge w:val="continue"/>
                  <w:vAlign w:val="center"/>
                </w:tcPr>
                <w:p>
                  <w:pPr>
                    <w:pStyle w:val="10"/>
                    <w:spacing w:before="0" w:beforeAutospacing="0" w:after="0" w:afterAutospacing="0"/>
                    <w:jc w:val="center"/>
                    <w:outlineLvl w:val="0"/>
                    <w:rPr>
                      <w:rFonts w:ascii="Times New Roman" w:hAnsi="Times New Roman" w:cs="Times New Roman"/>
                      <w:snapToGrid w:val="0"/>
                      <w:sz w:val="21"/>
                      <w:szCs w:val="21"/>
                    </w:rPr>
                  </w:pPr>
                </w:p>
              </w:tc>
              <w:tc>
                <w:tcPr>
                  <w:tcW w:w="1417" w:type="dxa"/>
                  <w:vAlign w:val="center"/>
                </w:tcPr>
                <w:p>
                  <w:pPr>
                    <w:pStyle w:val="10"/>
                    <w:spacing w:before="0" w:beforeAutospacing="0" w:after="0" w:afterAutospacing="0"/>
                    <w:jc w:val="center"/>
                    <w:outlineLvl w:val="0"/>
                    <w:rPr>
                      <w:rFonts w:ascii="Times New Roman" w:hAnsi="Times New Roman" w:cs="Times New Roman"/>
                      <w:snapToGrid w:val="0"/>
                      <w:sz w:val="21"/>
                      <w:szCs w:val="21"/>
                      <w:vertAlign w:val="subscript"/>
                    </w:rPr>
                  </w:pPr>
                  <w:r>
                    <w:rPr>
                      <w:rFonts w:hint="eastAsia" w:ascii="Times New Roman" w:hAnsi="Times New Roman" w:cs="Times New Roman"/>
                      <w:snapToGrid w:val="0"/>
                      <w:sz w:val="21"/>
                      <w:szCs w:val="21"/>
                    </w:rPr>
                    <w:t>NO</w:t>
                  </w:r>
                  <w:r>
                    <w:rPr>
                      <w:rFonts w:hint="eastAsia" w:ascii="Times New Roman" w:hAnsi="Times New Roman" w:cs="Times New Roman"/>
                      <w:snapToGrid w:val="0"/>
                      <w:sz w:val="21"/>
                      <w:szCs w:val="21"/>
                      <w:vertAlign w:val="subscript"/>
                    </w:rPr>
                    <w:t>X</w:t>
                  </w:r>
                </w:p>
              </w:tc>
              <w:tc>
                <w:tcPr>
                  <w:tcW w:w="1057" w:type="dxa"/>
                  <w:vAlign w:val="center"/>
                </w:tcPr>
                <w:p>
                  <w:pPr>
                    <w:adjustRightInd w:val="0"/>
                    <w:snapToGrid w:val="0"/>
                    <w:jc w:val="center"/>
                    <w:rPr>
                      <w:bCs/>
                      <w:lang w:bidi="mn-Mong-CN"/>
                    </w:rPr>
                  </w:pPr>
                  <w:r>
                    <w:rPr>
                      <w:bCs/>
                      <w:lang w:bidi="mn-Mong-CN"/>
                    </w:rPr>
                    <w:t>2.352</w:t>
                  </w:r>
                </w:p>
              </w:tc>
              <w:tc>
                <w:tcPr>
                  <w:tcW w:w="1057" w:type="dxa"/>
                  <w:vAlign w:val="center"/>
                </w:tcPr>
                <w:p>
                  <w:pPr>
                    <w:adjustRightInd w:val="0"/>
                    <w:snapToGrid w:val="0"/>
                    <w:jc w:val="center"/>
                    <w:rPr>
                      <w:bCs/>
                      <w:lang w:bidi="mn-Mong-CN"/>
                    </w:rPr>
                  </w:pPr>
                  <w:r>
                    <w:rPr>
                      <w:bCs/>
                      <w:lang w:bidi="mn-Mong-CN"/>
                    </w:rPr>
                    <w:t>2.352</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0.624</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0.624</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-1.728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434"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废水</w:t>
                  </w:r>
                </w:p>
              </w:tc>
              <w:tc>
                <w:tcPr>
                  <w:tcW w:w="1144"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生活污水</w:t>
                  </w:r>
                </w:p>
              </w:tc>
              <w:tc>
                <w:tcPr>
                  <w:tcW w:w="141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COD、SS、氨氮等</w:t>
                  </w:r>
                </w:p>
              </w:tc>
              <w:tc>
                <w:tcPr>
                  <w:tcW w:w="1057" w:type="dxa"/>
                  <w:vAlign w:val="center"/>
                </w:tcPr>
                <w:p>
                  <w:pPr>
                    <w:adjustRightInd w:val="0"/>
                    <w:snapToGrid w:val="0"/>
                    <w:jc w:val="center"/>
                    <w:rPr>
                      <w:bCs/>
                      <w:lang w:bidi="mn-Mong-CN"/>
                    </w:rPr>
                  </w:pPr>
                  <w:r>
                    <w:rPr>
                      <w:bCs/>
                      <w:lang w:bidi="mn-Mong-CN"/>
                    </w:rPr>
                    <w:t>45m</w:t>
                  </w:r>
                  <w:r>
                    <w:rPr>
                      <w:bCs/>
                      <w:vertAlign w:val="superscript"/>
                      <w:lang w:bidi="mn-Mong-CN"/>
                    </w:rPr>
                    <w:t>3</w:t>
                  </w:r>
                  <w:r>
                    <w:rPr>
                      <w:bCs/>
                      <w:lang w:bidi="mn-Mong-CN"/>
                    </w:rPr>
                    <w:t>/a</w:t>
                  </w:r>
                </w:p>
              </w:tc>
              <w:tc>
                <w:tcPr>
                  <w:tcW w:w="1057" w:type="dxa"/>
                  <w:vAlign w:val="center"/>
                </w:tcPr>
                <w:p>
                  <w:pPr>
                    <w:adjustRightInd w:val="0"/>
                    <w:snapToGrid w:val="0"/>
                    <w:jc w:val="center"/>
                    <w:rPr>
                      <w:bCs/>
                      <w:lang w:bidi="mn-Mong-CN"/>
                    </w:rPr>
                  </w:pPr>
                  <w:r>
                    <w:rPr>
                      <w:bCs/>
                      <w:lang w:bidi="mn-Mong-CN"/>
                    </w:rPr>
                    <w:t>45m</w:t>
                  </w:r>
                  <w:r>
                    <w:rPr>
                      <w:bCs/>
                      <w:vertAlign w:val="superscript"/>
                      <w:lang w:bidi="mn-Mong-CN"/>
                    </w:rPr>
                    <w:t>3</w:t>
                  </w:r>
                  <w:r>
                    <w:rPr>
                      <w:bCs/>
                      <w:lang w:bidi="mn-Mong-CN"/>
                    </w:rPr>
                    <w:t>/a</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bCs/>
                      <w:snapToGrid w:val="0"/>
                      <w:sz w:val="21"/>
                      <w:szCs w:val="21"/>
                    </w:rPr>
                    <w:t>216</w:t>
                  </w:r>
                  <w:r>
                    <w:rPr>
                      <w:rFonts w:ascii="Times New Roman" w:hAnsi="Times New Roman" w:cs="Times New Roman"/>
                      <w:bCs/>
                      <w:snapToGrid w:val="0"/>
                      <w:sz w:val="21"/>
                      <w:szCs w:val="21"/>
                    </w:rPr>
                    <w:t>m</w:t>
                  </w:r>
                  <w:r>
                    <w:rPr>
                      <w:rFonts w:ascii="Times New Roman" w:hAnsi="Times New Roman" w:cs="Times New Roman"/>
                      <w:bCs/>
                      <w:snapToGrid w:val="0"/>
                      <w:sz w:val="21"/>
                      <w:szCs w:val="21"/>
                      <w:vertAlign w:val="superscript"/>
                    </w:rPr>
                    <w:t>3</w:t>
                  </w:r>
                  <w:r>
                    <w:rPr>
                      <w:rFonts w:ascii="Times New Roman" w:hAnsi="Times New Roman" w:cs="Times New Roman"/>
                      <w:bCs/>
                      <w:snapToGrid w:val="0"/>
                      <w:sz w:val="21"/>
                      <w:szCs w:val="21"/>
                    </w:rPr>
                    <w:t>/a</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bCs/>
                      <w:snapToGrid w:val="0"/>
                      <w:sz w:val="21"/>
                      <w:szCs w:val="21"/>
                    </w:rPr>
                    <w:t>216</w:t>
                  </w:r>
                  <w:r>
                    <w:rPr>
                      <w:rFonts w:ascii="Times New Roman" w:hAnsi="Times New Roman" w:cs="Times New Roman"/>
                      <w:bCs/>
                      <w:snapToGrid w:val="0"/>
                      <w:sz w:val="21"/>
                      <w:szCs w:val="21"/>
                    </w:rPr>
                    <w:t>m</w:t>
                  </w:r>
                  <w:r>
                    <w:rPr>
                      <w:rFonts w:ascii="Times New Roman" w:hAnsi="Times New Roman" w:cs="Times New Roman"/>
                      <w:bCs/>
                      <w:snapToGrid w:val="0"/>
                      <w:sz w:val="21"/>
                      <w:szCs w:val="21"/>
                      <w:vertAlign w:val="superscript"/>
                    </w:rPr>
                    <w:t>3</w:t>
                  </w:r>
                  <w:r>
                    <w:rPr>
                      <w:rFonts w:ascii="Times New Roman" w:hAnsi="Times New Roman" w:cs="Times New Roman"/>
                      <w:bCs/>
                      <w:snapToGrid w:val="0"/>
                      <w:sz w:val="21"/>
                      <w:szCs w:val="21"/>
                    </w:rPr>
                    <w:t>/a</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171</w:t>
                  </w:r>
                  <w:r>
                    <w:rPr>
                      <w:rFonts w:ascii="Times New Roman" w:hAnsi="Times New Roman" w:cs="Times New Roman"/>
                      <w:bCs/>
                      <w:snapToGrid w:val="0"/>
                      <w:sz w:val="21"/>
                      <w:szCs w:val="21"/>
                    </w:rPr>
                    <w:t>m</w:t>
                  </w:r>
                  <w:r>
                    <w:rPr>
                      <w:rFonts w:ascii="Times New Roman" w:hAnsi="Times New Roman" w:cs="Times New Roman"/>
                      <w:bCs/>
                      <w:snapToGrid w:val="0"/>
                      <w:sz w:val="21"/>
                      <w:szCs w:val="21"/>
                      <w:vertAlign w:val="superscript"/>
                    </w:rPr>
                    <w:t>3</w:t>
                  </w:r>
                  <w:r>
                    <w:rPr>
                      <w:rFonts w:ascii="Times New Roman" w:hAnsi="Times New Roman" w:cs="Times New Roman"/>
                      <w:bCs/>
                      <w:snapToGrid w:val="0"/>
                      <w:sz w:val="21"/>
                      <w:szCs w:val="21"/>
                    </w:rPr>
                    <w: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434" w:type="dxa"/>
                  <w:vMerge w:val="restart"/>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固废</w:t>
                  </w:r>
                </w:p>
              </w:tc>
              <w:tc>
                <w:tcPr>
                  <w:tcW w:w="1144"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成品包装</w:t>
                  </w:r>
                </w:p>
              </w:tc>
              <w:tc>
                <w:tcPr>
                  <w:tcW w:w="1417" w:type="dxa"/>
                  <w:vAlign w:val="center"/>
                </w:tcPr>
                <w:p>
                  <w:pPr>
                    <w:adjustRightInd w:val="0"/>
                    <w:snapToGrid w:val="0"/>
                    <w:jc w:val="center"/>
                    <w:rPr>
                      <w:bCs/>
                      <w:lang w:bidi="mn-Mong-CN"/>
                    </w:rPr>
                  </w:pPr>
                  <w:r>
                    <w:rPr>
                      <w:bCs/>
                      <w:lang w:bidi="mn-Mong-CN"/>
                    </w:rPr>
                    <w:t>废塑料</w:t>
                  </w:r>
                </w:p>
                <w:p>
                  <w:pPr>
                    <w:adjustRightInd w:val="0"/>
                    <w:snapToGrid w:val="0"/>
                    <w:jc w:val="center"/>
                    <w:rPr>
                      <w:bCs/>
                      <w:lang w:bidi="mn-Mong-CN"/>
                    </w:rPr>
                  </w:pPr>
                  <w:r>
                    <w:rPr>
                      <w:bCs/>
                      <w:lang w:bidi="mn-Mong-CN"/>
                    </w:rPr>
                    <w:t>废木板</w:t>
                  </w:r>
                </w:p>
              </w:tc>
              <w:tc>
                <w:tcPr>
                  <w:tcW w:w="1057" w:type="dxa"/>
                  <w:vAlign w:val="center"/>
                </w:tcPr>
                <w:p>
                  <w:pPr>
                    <w:adjustRightInd w:val="0"/>
                    <w:snapToGrid w:val="0"/>
                    <w:jc w:val="center"/>
                    <w:rPr>
                      <w:bCs/>
                      <w:lang w:bidi="mn-Mong-CN"/>
                    </w:rPr>
                  </w:pPr>
                  <w:r>
                    <w:rPr>
                      <w:bCs/>
                      <w:lang w:bidi="mn-Mong-CN"/>
                    </w:rPr>
                    <w:t>0.5</w:t>
                  </w:r>
                </w:p>
              </w:tc>
              <w:tc>
                <w:tcPr>
                  <w:tcW w:w="1057" w:type="dxa"/>
                  <w:vAlign w:val="center"/>
                </w:tcPr>
                <w:p>
                  <w:pPr>
                    <w:adjustRightInd w:val="0"/>
                    <w:snapToGrid w:val="0"/>
                    <w:jc w:val="center"/>
                    <w:rPr>
                      <w:bCs/>
                      <w:lang w:bidi="mn-Mong-CN"/>
                    </w:rPr>
                  </w:pPr>
                  <w:r>
                    <w:rPr>
                      <w:bCs/>
                      <w:lang w:bidi="mn-Mong-CN"/>
                    </w:rPr>
                    <w:t>0.5</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3.0</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3.0</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434" w:type="dxa"/>
                  <w:vMerge w:val="continue"/>
                  <w:vAlign w:val="center"/>
                </w:tcPr>
                <w:p>
                  <w:pPr>
                    <w:pStyle w:val="10"/>
                    <w:spacing w:before="0" w:beforeAutospacing="0" w:after="0" w:afterAutospacing="0"/>
                    <w:jc w:val="center"/>
                    <w:outlineLvl w:val="0"/>
                    <w:rPr>
                      <w:rFonts w:ascii="Times New Roman" w:hAnsi="Times New Roman" w:cs="Times New Roman"/>
                      <w:snapToGrid w:val="0"/>
                      <w:sz w:val="21"/>
                      <w:szCs w:val="21"/>
                    </w:rPr>
                  </w:pPr>
                </w:p>
              </w:tc>
              <w:tc>
                <w:tcPr>
                  <w:tcW w:w="1144" w:type="dxa"/>
                  <w:vMerge w:val="restart"/>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机加工</w:t>
                  </w:r>
                </w:p>
              </w:tc>
              <w:tc>
                <w:tcPr>
                  <w:tcW w:w="1417" w:type="dxa"/>
                  <w:vAlign w:val="center"/>
                </w:tcPr>
                <w:p>
                  <w:pPr>
                    <w:adjustRightInd w:val="0"/>
                    <w:snapToGrid w:val="0"/>
                    <w:jc w:val="center"/>
                    <w:rPr>
                      <w:bCs/>
                      <w:lang w:bidi="mn-Mong-CN"/>
                    </w:rPr>
                  </w:pPr>
                  <w:r>
                    <w:rPr>
                      <w:bCs/>
                      <w:lang w:bidi="mn-Mong-CN"/>
                    </w:rPr>
                    <w:t>边角料</w:t>
                  </w:r>
                </w:p>
                <w:p>
                  <w:pPr>
                    <w:adjustRightInd w:val="0"/>
                    <w:snapToGrid w:val="0"/>
                    <w:jc w:val="center"/>
                    <w:rPr>
                      <w:bCs/>
                      <w:lang w:bidi="mn-Mong-CN"/>
                    </w:rPr>
                  </w:pPr>
                  <w:r>
                    <w:rPr>
                      <w:bCs/>
                      <w:lang w:bidi="mn-Mong-CN"/>
                    </w:rPr>
                    <w:t>废铁屑</w:t>
                  </w:r>
                </w:p>
                <w:p>
                  <w:pPr>
                    <w:adjustRightInd w:val="0"/>
                    <w:snapToGrid w:val="0"/>
                    <w:jc w:val="center"/>
                    <w:rPr>
                      <w:bCs/>
                      <w:lang w:bidi="mn-Mong-CN"/>
                    </w:rPr>
                  </w:pPr>
                  <w:r>
                    <w:rPr>
                      <w:bCs/>
                      <w:lang w:bidi="mn-Mong-CN"/>
                    </w:rPr>
                    <w:t>氧化铁皮</w:t>
                  </w:r>
                </w:p>
              </w:tc>
              <w:tc>
                <w:tcPr>
                  <w:tcW w:w="1057" w:type="dxa"/>
                  <w:vAlign w:val="center"/>
                </w:tcPr>
                <w:p>
                  <w:pPr>
                    <w:adjustRightInd w:val="0"/>
                    <w:snapToGrid w:val="0"/>
                    <w:jc w:val="center"/>
                    <w:rPr>
                      <w:bCs/>
                      <w:lang w:bidi="mn-Mong-CN"/>
                    </w:rPr>
                  </w:pPr>
                  <w:r>
                    <w:rPr>
                      <w:bCs/>
                      <w:lang w:bidi="mn-Mong-CN"/>
                    </w:rPr>
                    <w:t>250</w:t>
                  </w:r>
                </w:p>
              </w:tc>
              <w:tc>
                <w:tcPr>
                  <w:tcW w:w="1057" w:type="dxa"/>
                  <w:vAlign w:val="center"/>
                </w:tcPr>
                <w:p>
                  <w:pPr>
                    <w:adjustRightInd w:val="0"/>
                    <w:snapToGrid w:val="0"/>
                    <w:jc w:val="center"/>
                    <w:rPr>
                      <w:bCs/>
                      <w:lang w:bidi="mn-Mong-CN"/>
                    </w:rPr>
                  </w:pPr>
                  <w:r>
                    <w:rPr>
                      <w:bCs/>
                      <w:lang w:bidi="mn-Mong-CN"/>
                    </w:rPr>
                    <w:t>250</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1200</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1200</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950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434" w:type="dxa"/>
                  <w:vMerge w:val="continue"/>
                  <w:vAlign w:val="center"/>
                </w:tcPr>
                <w:p>
                  <w:pPr>
                    <w:pStyle w:val="10"/>
                    <w:spacing w:before="0" w:beforeAutospacing="0" w:after="0" w:afterAutospacing="0"/>
                    <w:jc w:val="center"/>
                    <w:outlineLvl w:val="0"/>
                    <w:rPr>
                      <w:rFonts w:ascii="Times New Roman" w:hAnsi="Times New Roman" w:cs="Times New Roman"/>
                      <w:snapToGrid w:val="0"/>
                      <w:sz w:val="21"/>
                      <w:szCs w:val="21"/>
                    </w:rPr>
                  </w:pPr>
                </w:p>
              </w:tc>
              <w:tc>
                <w:tcPr>
                  <w:tcW w:w="1144" w:type="dxa"/>
                  <w:vMerge w:val="continue"/>
                  <w:vAlign w:val="center"/>
                </w:tcPr>
                <w:p>
                  <w:pPr>
                    <w:pStyle w:val="10"/>
                    <w:spacing w:before="0" w:beforeAutospacing="0" w:after="0" w:afterAutospacing="0"/>
                    <w:jc w:val="center"/>
                    <w:outlineLvl w:val="0"/>
                    <w:rPr>
                      <w:rFonts w:ascii="Times New Roman" w:hAnsi="Times New Roman" w:cs="Times New Roman"/>
                      <w:snapToGrid w:val="0"/>
                      <w:sz w:val="21"/>
                      <w:szCs w:val="21"/>
                    </w:rPr>
                  </w:pPr>
                </w:p>
              </w:tc>
              <w:tc>
                <w:tcPr>
                  <w:tcW w:w="1417" w:type="dxa"/>
                  <w:vAlign w:val="center"/>
                </w:tcPr>
                <w:p>
                  <w:pPr>
                    <w:adjustRightInd w:val="0"/>
                    <w:snapToGrid w:val="0"/>
                    <w:jc w:val="center"/>
                    <w:rPr>
                      <w:bCs/>
                      <w:lang w:bidi="mn-Mong-CN"/>
                    </w:rPr>
                  </w:pPr>
                  <w:r>
                    <w:rPr>
                      <w:bCs/>
                      <w:lang w:bidi="mn-Mong-CN"/>
                    </w:rPr>
                    <w:t>废机油</w:t>
                  </w:r>
                </w:p>
              </w:tc>
              <w:tc>
                <w:tcPr>
                  <w:tcW w:w="1057" w:type="dxa"/>
                  <w:vAlign w:val="center"/>
                </w:tcPr>
                <w:p>
                  <w:pPr>
                    <w:adjustRightInd w:val="0"/>
                    <w:snapToGrid w:val="0"/>
                    <w:jc w:val="center"/>
                    <w:rPr>
                      <w:bCs/>
                      <w:lang w:bidi="mn-Mong-CN"/>
                    </w:rPr>
                  </w:pPr>
                  <w:r>
                    <w:rPr>
                      <w:bCs/>
                      <w:lang w:bidi="mn-Mong-CN"/>
                    </w:rPr>
                    <w:t>0.0</w:t>
                  </w:r>
                  <w:r>
                    <w:rPr>
                      <w:rFonts w:hint="eastAsia"/>
                      <w:bCs/>
                      <w:lang w:bidi="mn-Mong-CN"/>
                    </w:rPr>
                    <w:t>5</w:t>
                  </w:r>
                </w:p>
              </w:tc>
              <w:tc>
                <w:tcPr>
                  <w:tcW w:w="1057" w:type="dxa"/>
                  <w:vAlign w:val="center"/>
                </w:tcPr>
                <w:p>
                  <w:pPr>
                    <w:adjustRightInd w:val="0"/>
                    <w:snapToGrid w:val="0"/>
                    <w:jc w:val="center"/>
                    <w:rPr>
                      <w:bCs/>
                      <w:lang w:bidi="mn-Mong-CN"/>
                    </w:rPr>
                  </w:pPr>
                  <w:r>
                    <w:rPr>
                      <w:bCs/>
                      <w:lang w:bidi="mn-Mong-CN"/>
                    </w:rPr>
                    <w:t>0.0</w:t>
                  </w:r>
                  <w:r>
                    <w:rPr>
                      <w:rFonts w:hint="eastAsia"/>
                      <w:bCs/>
                      <w:lang w:bidi="mn-Mong-CN"/>
                    </w:rPr>
                    <w:t>5</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0.3</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0.3</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434" w:type="dxa"/>
                  <w:vMerge w:val="continue"/>
                  <w:vAlign w:val="center"/>
                </w:tcPr>
                <w:p>
                  <w:pPr>
                    <w:pStyle w:val="10"/>
                    <w:spacing w:before="0" w:beforeAutospacing="0" w:after="0" w:afterAutospacing="0"/>
                    <w:jc w:val="center"/>
                    <w:outlineLvl w:val="0"/>
                    <w:rPr>
                      <w:rFonts w:ascii="Times New Roman" w:hAnsi="Times New Roman" w:cs="Times New Roman"/>
                      <w:snapToGrid w:val="0"/>
                      <w:sz w:val="21"/>
                      <w:szCs w:val="21"/>
                    </w:rPr>
                  </w:pPr>
                </w:p>
              </w:tc>
              <w:tc>
                <w:tcPr>
                  <w:tcW w:w="1144" w:type="dxa"/>
                  <w:vMerge w:val="continue"/>
                  <w:vAlign w:val="center"/>
                </w:tcPr>
                <w:p>
                  <w:pPr>
                    <w:pStyle w:val="10"/>
                    <w:spacing w:before="0" w:beforeAutospacing="0" w:after="0" w:afterAutospacing="0"/>
                    <w:jc w:val="center"/>
                    <w:outlineLvl w:val="0"/>
                    <w:rPr>
                      <w:rFonts w:ascii="Times New Roman" w:hAnsi="Times New Roman" w:cs="Times New Roman"/>
                      <w:snapToGrid w:val="0"/>
                      <w:sz w:val="21"/>
                      <w:szCs w:val="21"/>
                    </w:rPr>
                  </w:pPr>
                </w:p>
              </w:tc>
              <w:tc>
                <w:tcPr>
                  <w:tcW w:w="1417" w:type="dxa"/>
                  <w:vAlign w:val="center"/>
                </w:tcPr>
                <w:p>
                  <w:pPr>
                    <w:adjustRightInd w:val="0"/>
                    <w:snapToGrid w:val="0"/>
                    <w:jc w:val="center"/>
                    <w:rPr>
                      <w:bCs/>
                      <w:lang w:bidi="mn-Mong-CN"/>
                    </w:rPr>
                  </w:pPr>
                  <w:r>
                    <w:rPr>
                      <w:bCs/>
                      <w:lang w:bidi="mn-Mong-CN"/>
                    </w:rPr>
                    <w:t>废乳化液</w:t>
                  </w:r>
                </w:p>
              </w:tc>
              <w:tc>
                <w:tcPr>
                  <w:tcW w:w="1057" w:type="dxa"/>
                  <w:vAlign w:val="center"/>
                </w:tcPr>
                <w:p>
                  <w:pPr>
                    <w:adjustRightInd w:val="0"/>
                    <w:snapToGrid w:val="0"/>
                    <w:jc w:val="center"/>
                    <w:rPr>
                      <w:bCs/>
                      <w:lang w:bidi="mn-Mong-CN"/>
                    </w:rPr>
                  </w:pPr>
                  <w:r>
                    <w:rPr>
                      <w:bCs/>
                      <w:lang w:bidi="mn-Mong-CN"/>
                    </w:rPr>
                    <w:t>0.0</w:t>
                  </w:r>
                  <w:r>
                    <w:rPr>
                      <w:rFonts w:hint="eastAsia"/>
                      <w:bCs/>
                      <w:lang w:bidi="mn-Mong-CN"/>
                    </w:rPr>
                    <w:t>1</w:t>
                  </w:r>
                </w:p>
              </w:tc>
              <w:tc>
                <w:tcPr>
                  <w:tcW w:w="1057" w:type="dxa"/>
                  <w:vAlign w:val="center"/>
                </w:tcPr>
                <w:p>
                  <w:pPr>
                    <w:adjustRightInd w:val="0"/>
                    <w:snapToGrid w:val="0"/>
                    <w:jc w:val="center"/>
                    <w:rPr>
                      <w:bCs/>
                      <w:lang w:bidi="mn-Mong-CN"/>
                    </w:rPr>
                  </w:pPr>
                  <w:r>
                    <w:rPr>
                      <w:bCs/>
                      <w:lang w:bidi="mn-Mong-CN"/>
                    </w:rPr>
                    <w:t>0.0</w:t>
                  </w:r>
                  <w:r>
                    <w:rPr>
                      <w:rFonts w:hint="eastAsia"/>
                      <w:bCs/>
                      <w:lang w:bidi="mn-Mong-CN"/>
                    </w:rPr>
                    <w:t>1</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0.15</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0.15</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0.14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434" w:type="dxa"/>
                  <w:vMerge w:val="continue"/>
                  <w:vAlign w:val="center"/>
                </w:tcPr>
                <w:p>
                  <w:pPr>
                    <w:pStyle w:val="10"/>
                    <w:spacing w:before="0" w:beforeAutospacing="0" w:after="0" w:afterAutospacing="0"/>
                    <w:jc w:val="center"/>
                    <w:outlineLvl w:val="0"/>
                    <w:rPr>
                      <w:rFonts w:ascii="Times New Roman" w:hAnsi="Times New Roman" w:cs="Times New Roman"/>
                      <w:snapToGrid w:val="0"/>
                      <w:sz w:val="21"/>
                      <w:szCs w:val="21"/>
                    </w:rPr>
                  </w:pPr>
                </w:p>
              </w:tc>
              <w:tc>
                <w:tcPr>
                  <w:tcW w:w="1144"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snapToGrid w:val="0"/>
                      <w:sz w:val="21"/>
                      <w:szCs w:val="21"/>
                    </w:rPr>
                    <w:t>职工生活</w:t>
                  </w:r>
                </w:p>
              </w:tc>
              <w:tc>
                <w:tcPr>
                  <w:tcW w:w="1417" w:type="dxa"/>
                  <w:vAlign w:val="center"/>
                </w:tcPr>
                <w:p>
                  <w:pPr>
                    <w:adjustRightInd w:val="0"/>
                    <w:snapToGrid w:val="0"/>
                    <w:jc w:val="center"/>
                    <w:rPr>
                      <w:bCs/>
                      <w:lang w:bidi="mn-Mong-CN"/>
                    </w:rPr>
                  </w:pPr>
                  <w:r>
                    <w:rPr>
                      <w:bCs/>
                      <w:lang w:bidi="mn-Mong-CN"/>
                    </w:rPr>
                    <w:t>生活垃圾</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2.7</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2.7</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4.5</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4.5</w:t>
                  </w:r>
                </w:p>
              </w:tc>
              <w:tc>
                <w:tcPr>
                  <w:tcW w:w="1057" w:type="dxa"/>
                  <w:vAlign w:val="center"/>
                </w:tcPr>
                <w:p>
                  <w:pPr>
                    <w:pStyle w:val="10"/>
                    <w:spacing w:before="0" w:beforeAutospacing="0" w:after="0" w:afterAutospacing="0"/>
                    <w:jc w:val="center"/>
                    <w:outlineLvl w:val="0"/>
                    <w:rPr>
                      <w:rFonts w:ascii="Times New Roman" w:hAnsi="Times New Roman" w:cs="Times New Roman"/>
                      <w:snapToGrid w:val="0"/>
                      <w:sz w:val="21"/>
                      <w:szCs w:val="21"/>
                    </w:rPr>
                  </w:pPr>
                  <w:r>
                    <w:rPr>
                      <w:rFonts w:hint="eastAsia" w:ascii="Times New Roman" w:hAnsi="Times New Roman" w:cs="Times New Roman"/>
                      <w:snapToGrid w:val="0"/>
                      <w:sz w:val="21"/>
                      <w:szCs w:val="21"/>
                    </w:rPr>
                    <w:t>1.8</w:t>
                  </w:r>
                </w:p>
              </w:tc>
            </w:tr>
          </w:tbl>
          <w:p>
            <w:pPr>
              <w:pStyle w:val="10"/>
              <w:spacing w:before="0" w:beforeAutospacing="0" w:after="0" w:afterAutospacing="0" w:line="360" w:lineRule="auto"/>
              <w:ind w:firstLine="480" w:firstLineChars="200"/>
              <w:jc w:val="both"/>
              <w:outlineLvl w:val="0"/>
              <w:rPr>
                <w:rFonts w:cs="宋体"/>
                <w:snapToGrid w:val="0"/>
                <w:szCs w:val="24"/>
              </w:rPr>
            </w:pPr>
            <w:r>
              <w:rPr>
                <w:rFonts w:hint="eastAsia" w:cs="宋体"/>
                <w:snapToGrid w:val="0"/>
                <w:szCs w:val="24"/>
              </w:rPr>
              <w:t>由上表可知，本项目在将燃煤加热炉技改为天然气加热炉后，可有效减少大气污染物的排放，同时在采取环评提出的降噪措施后，厂界四周噪声可达标排放。</w:t>
            </w:r>
          </w:p>
          <w:p>
            <w:pPr>
              <w:pStyle w:val="10"/>
              <w:spacing w:before="0" w:beforeAutospacing="0" w:after="0" w:afterAutospacing="0" w:line="360" w:lineRule="auto"/>
              <w:jc w:val="both"/>
              <w:outlineLvl w:val="0"/>
              <w:rPr>
                <w:rFonts w:ascii="Times New Roman" w:hAnsi="Times New Roman" w:cs="Times New Roman"/>
                <w:snapToGrid w:val="0"/>
                <w:sz w:val="30"/>
                <w:szCs w:val="30"/>
              </w:rPr>
            </w:pPr>
            <w:r>
              <w:rPr>
                <w:rFonts w:ascii="Times New Roman" w:hAnsi="Times New Roman" w:cs="Times New Roman"/>
                <w:snapToGrid w:val="0"/>
                <w:szCs w:val="24"/>
              </w:rPr>
              <w:t>项目产能由原有500t/a增加</w:t>
            </w:r>
            <w:r>
              <w:rPr>
                <w:rFonts w:hint="eastAsia" w:ascii="Times New Roman" w:hAnsi="Times New Roman" w:cs="Times New Roman"/>
                <w:snapToGrid w:val="0"/>
                <w:szCs w:val="24"/>
              </w:rPr>
              <w:t>至3000t/a，劳动定员及原辅材料增加，相应固体废物产生量较原有增加，项目产生的</w:t>
            </w:r>
            <w:r>
              <w:rPr>
                <w:bCs/>
                <w:szCs w:val="21"/>
              </w:rPr>
              <w:t>废塑料</w:t>
            </w:r>
            <w:r>
              <w:rPr>
                <w:rFonts w:hint="eastAsia"/>
                <w:bCs/>
                <w:szCs w:val="21"/>
              </w:rPr>
              <w:t>、</w:t>
            </w:r>
            <w:r>
              <w:rPr>
                <w:bCs/>
                <w:szCs w:val="21"/>
              </w:rPr>
              <w:t>废木板收集后综合利用</w:t>
            </w:r>
            <w:r>
              <w:rPr>
                <w:rFonts w:hint="eastAsia"/>
                <w:bCs/>
                <w:szCs w:val="21"/>
              </w:rPr>
              <w:t>，</w:t>
            </w:r>
            <w:r>
              <w:rPr>
                <w:bCs/>
                <w:szCs w:val="21"/>
              </w:rPr>
              <w:t>氧化铁皮、废铁屑及边角料暂存于固废暂存</w:t>
            </w:r>
            <w:r>
              <w:rPr>
                <w:rFonts w:hint="eastAsia"/>
                <w:bCs/>
                <w:szCs w:val="21"/>
              </w:rPr>
              <w:t>间</w:t>
            </w:r>
            <w:r>
              <w:rPr>
                <w:bCs/>
                <w:szCs w:val="21"/>
              </w:rPr>
              <w:t>，定期外售废品回收站，生活垃圾定期送环卫部门处置，设置危险废物暂存间对废机油、废乳化液危险废物进行暂存，定期交有资质单位处置</w:t>
            </w:r>
            <w:r>
              <w:rPr>
                <w:rFonts w:hint="eastAsia"/>
                <w:bCs/>
                <w:szCs w:val="21"/>
              </w:rPr>
              <w:t>，</w:t>
            </w:r>
            <w:r>
              <w:rPr>
                <w:bCs/>
                <w:szCs w:val="21"/>
              </w:rPr>
              <w:t>固体废物</w:t>
            </w:r>
            <w:r>
              <w:rPr>
                <w:rFonts w:hint="eastAsia" w:ascii="Times New Roman" w:hAnsi="Times New Roman" w:cs="Times New Roman"/>
                <w:snapToGrid w:val="0"/>
                <w:szCs w:val="24"/>
              </w:rPr>
              <w:t>均可以做到合理处置，不会因产量增加对环境产生不利影响。</w:t>
            </w:r>
            <w:r>
              <w:rPr>
                <w:rFonts w:hint="eastAsia" w:cs="宋体"/>
                <w:snapToGrid w:val="0"/>
                <w:szCs w:val="24"/>
              </w:rPr>
              <w:t>因此，本项目的实施对环境有明显的改善作用。</w:t>
            </w:r>
          </w:p>
        </w:tc>
      </w:tr>
    </w:tbl>
    <w:p>
      <w:pPr>
        <w:widowControl/>
        <w:jc w:val="left"/>
        <w:rPr>
          <w:snapToGrid w:val="0"/>
          <w:sz w:val="30"/>
          <w:szCs w:val="30"/>
          <w:lang w:bidi="mn-Mong-CN"/>
        </w:rPr>
      </w:pPr>
    </w:p>
    <w:p>
      <w:pPr>
        <w:pStyle w:val="10"/>
        <w:jc w:val="center"/>
        <w:outlineLvl w:val="0"/>
        <w:rPr>
          <w:rFonts w:ascii="Times New Roman" w:hAnsi="Times New Roman" w:cs="Times New Roman"/>
          <w:snapToGrid w:val="0"/>
          <w:sz w:val="30"/>
          <w:szCs w:val="30"/>
        </w:rPr>
      </w:pPr>
      <w:r>
        <w:rPr>
          <w:rFonts w:ascii="Times New Roman" w:hAnsi="Times New Roman" w:cs="Times New Roman"/>
          <w:snapToGrid w:val="0"/>
          <w:sz w:val="30"/>
          <w:szCs w:val="30"/>
        </w:rPr>
        <w:t>五、</w:t>
      </w:r>
      <w:bookmarkStart w:id="2" w:name="_Hlk54167917"/>
      <w:r>
        <w:rPr>
          <w:rFonts w:ascii="Times New Roman" w:hAnsi="Times New Roman" w:cs="Times New Roman"/>
          <w:snapToGrid w:val="0"/>
          <w:sz w:val="30"/>
          <w:szCs w:val="30"/>
        </w:rPr>
        <w:t>环境保护措施监督检查清单</w:t>
      </w:r>
      <w:bookmarkEnd w:id="2"/>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38"/>
        <w:gridCol w:w="1559"/>
        <w:gridCol w:w="1134"/>
        <w:gridCol w:w="2977"/>
        <w:gridCol w:w="15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tcBorders>
              <w:tl2br w:val="single" w:color="auto" w:sz="4" w:space="0"/>
            </w:tcBorders>
          </w:tcPr>
          <w:p>
            <w:pPr>
              <w:adjustRightInd w:val="0"/>
              <w:snapToGrid w:val="0"/>
              <w:ind w:firstLine="840"/>
              <w:rPr>
                <w:szCs w:val="21"/>
              </w:rPr>
            </w:pPr>
            <w:r>
              <w:rPr>
                <w:szCs w:val="21"/>
              </w:rPr>
              <w:t>内容</w:t>
            </w:r>
          </w:p>
          <w:p>
            <w:pPr>
              <w:adjustRightInd w:val="0"/>
              <w:snapToGrid w:val="0"/>
              <w:rPr>
                <w:szCs w:val="21"/>
              </w:rPr>
            </w:pPr>
            <w:r>
              <w:rPr>
                <w:szCs w:val="21"/>
              </w:rPr>
              <w:t>要素</w:t>
            </w:r>
          </w:p>
        </w:tc>
        <w:tc>
          <w:tcPr>
            <w:tcW w:w="1559" w:type="dxa"/>
            <w:vAlign w:val="center"/>
          </w:tcPr>
          <w:p>
            <w:pPr>
              <w:adjustRightInd w:val="0"/>
              <w:snapToGrid w:val="0"/>
              <w:jc w:val="center"/>
              <w:rPr>
                <w:szCs w:val="21"/>
              </w:rPr>
            </w:pPr>
            <w:r>
              <w:rPr>
                <w:szCs w:val="21"/>
              </w:rPr>
              <w:t>排放口(编号、</w:t>
            </w:r>
          </w:p>
          <w:p>
            <w:pPr>
              <w:adjustRightInd w:val="0"/>
              <w:snapToGrid w:val="0"/>
              <w:jc w:val="center"/>
              <w:rPr>
                <w:szCs w:val="21"/>
              </w:rPr>
            </w:pPr>
            <w:r>
              <w:rPr>
                <w:szCs w:val="21"/>
              </w:rPr>
              <w:t>名称)/污染源</w:t>
            </w:r>
          </w:p>
        </w:tc>
        <w:tc>
          <w:tcPr>
            <w:tcW w:w="1134" w:type="dxa"/>
            <w:vAlign w:val="center"/>
          </w:tcPr>
          <w:p>
            <w:pPr>
              <w:adjustRightInd w:val="0"/>
              <w:snapToGrid w:val="0"/>
              <w:jc w:val="center"/>
              <w:rPr>
                <w:szCs w:val="21"/>
              </w:rPr>
            </w:pPr>
            <w:r>
              <w:rPr>
                <w:szCs w:val="21"/>
              </w:rPr>
              <w:t>污染物项目</w:t>
            </w:r>
          </w:p>
        </w:tc>
        <w:tc>
          <w:tcPr>
            <w:tcW w:w="2977" w:type="dxa"/>
            <w:vAlign w:val="center"/>
          </w:tcPr>
          <w:p>
            <w:pPr>
              <w:adjustRightInd w:val="0"/>
              <w:snapToGrid w:val="0"/>
              <w:jc w:val="center"/>
              <w:rPr>
                <w:szCs w:val="21"/>
              </w:rPr>
            </w:pPr>
            <w:r>
              <w:rPr>
                <w:szCs w:val="21"/>
              </w:rPr>
              <w:t>环境保护措施</w:t>
            </w:r>
          </w:p>
        </w:tc>
        <w:tc>
          <w:tcPr>
            <w:tcW w:w="1592" w:type="dxa"/>
            <w:vAlign w:val="center"/>
          </w:tcPr>
          <w:p>
            <w:pPr>
              <w:adjustRightInd w:val="0"/>
              <w:snapToGrid w:val="0"/>
              <w:jc w:val="center"/>
              <w:rPr>
                <w:szCs w:val="21"/>
              </w:rPr>
            </w:pPr>
            <w:r>
              <w:rPr>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00" w:type="dxa"/>
            <w:gridSpan w:val="5"/>
            <w:vAlign w:val="center"/>
          </w:tcPr>
          <w:p>
            <w:pPr>
              <w:adjustRightInd w:val="0"/>
              <w:snapToGrid w:val="0"/>
              <w:jc w:val="center"/>
              <w:rPr>
                <w:szCs w:val="21"/>
              </w:rPr>
            </w:pPr>
            <w:r>
              <w:rPr>
                <w:szCs w:val="21"/>
              </w:rPr>
              <w:t>一期工程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1538" w:type="dxa"/>
            <w:vAlign w:val="center"/>
          </w:tcPr>
          <w:p>
            <w:pPr>
              <w:adjustRightInd w:val="0"/>
              <w:snapToGrid w:val="0"/>
              <w:jc w:val="center"/>
              <w:rPr>
                <w:szCs w:val="21"/>
              </w:rPr>
            </w:pPr>
            <w:r>
              <w:rPr>
                <w:szCs w:val="21"/>
              </w:rPr>
              <w:t>大气环境</w:t>
            </w:r>
          </w:p>
        </w:tc>
        <w:tc>
          <w:tcPr>
            <w:tcW w:w="1559" w:type="dxa"/>
            <w:vAlign w:val="center"/>
          </w:tcPr>
          <w:p>
            <w:pPr>
              <w:adjustRightInd w:val="0"/>
              <w:snapToGrid w:val="0"/>
              <w:jc w:val="center"/>
              <w:rPr>
                <w:szCs w:val="21"/>
              </w:rPr>
            </w:pPr>
            <w:r>
              <w:rPr>
                <w:rFonts w:hint="eastAsia"/>
                <w:szCs w:val="21"/>
              </w:rPr>
              <w:t>DA001排气筒</w:t>
            </w:r>
          </w:p>
        </w:tc>
        <w:tc>
          <w:tcPr>
            <w:tcW w:w="1134" w:type="dxa"/>
            <w:vAlign w:val="center"/>
          </w:tcPr>
          <w:p>
            <w:pPr>
              <w:adjustRightInd w:val="0"/>
              <w:snapToGrid w:val="0"/>
              <w:jc w:val="center"/>
              <w:rPr>
                <w:szCs w:val="21"/>
              </w:rPr>
            </w:pPr>
            <w:r>
              <w:rPr>
                <w:szCs w:val="21"/>
              </w:rPr>
              <w:t>烟尘、SO</w:t>
            </w:r>
            <w:r>
              <w:rPr>
                <w:szCs w:val="21"/>
                <w:vertAlign w:val="subscript"/>
              </w:rPr>
              <w:t>2</w:t>
            </w:r>
            <w:r>
              <w:rPr>
                <w:szCs w:val="21"/>
              </w:rPr>
              <w:t>、NO</w:t>
            </w:r>
            <w:r>
              <w:rPr>
                <w:szCs w:val="21"/>
                <w:vertAlign w:val="subscript"/>
              </w:rPr>
              <w:t>X</w:t>
            </w:r>
          </w:p>
        </w:tc>
        <w:tc>
          <w:tcPr>
            <w:tcW w:w="2977" w:type="dxa"/>
            <w:vAlign w:val="center"/>
          </w:tcPr>
          <w:p>
            <w:pPr>
              <w:adjustRightInd w:val="0"/>
              <w:snapToGrid w:val="0"/>
              <w:jc w:val="center"/>
              <w:rPr>
                <w:szCs w:val="21"/>
              </w:rPr>
            </w:pPr>
            <w:r>
              <w:rPr>
                <w:szCs w:val="21"/>
              </w:rPr>
              <w:t>一套SCR脱硝装置，燃烧废气经处理后通过15m高排气筒排放，脱硝效率为</w:t>
            </w:r>
            <w:r>
              <w:rPr>
                <w:rFonts w:hint="eastAsia"/>
                <w:szCs w:val="21"/>
              </w:rPr>
              <w:t>8</w:t>
            </w:r>
            <w:r>
              <w:rPr>
                <w:szCs w:val="21"/>
              </w:rPr>
              <w:t>0%</w:t>
            </w:r>
          </w:p>
        </w:tc>
        <w:tc>
          <w:tcPr>
            <w:tcW w:w="1592" w:type="dxa"/>
            <w:vAlign w:val="center"/>
          </w:tcPr>
          <w:p>
            <w:pPr>
              <w:adjustRightInd w:val="0"/>
              <w:snapToGrid w:val="0"/>
              <w:jc w:val="center"/>
              <w:rPr>
                <w:szCs w:val="21"/>
              </w:rPr>
            </w:pPr>
            <w:r>
              <w:rPr>
                <w:spacing w:val="-18"/>
                <w:szCs w:val="21"/>
              </w:rPr>
              <w:t>《</w:t>
            </w:r>
            <w:r>
              <w:rPr>
                <w:szCs w:val="21"/>
              </w:rPr>
              <w:t>山西省工业炉窑大气污染综合治理实施方案》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Align w:val="center"/>
          </w:tcPr>
          <w:p>
            <w:pPr>
              <w:adjustRightInd w:val="0"/>
              <w:snapToGrid w:val="0"/>
              <w:jc w:val="center"/>
              <w:rPr>
                <w:szCs w:val="21"/>
              </w:rPr>
            </w:pPr>
            <w:r>
              <w:rPr>
                <w:szCs w:val="21"/>
              </w:rPr>
              <w:t>地表水环境</w:t>
            </w:r>
          </w:p>
        </w:tc>
        <w:tc>
          <w:tcPr>
            <w:tcW w:w="1559" w:type="dxa"/>
            <w:vAlign w:val="center"/>
          </w:tcPr>
          <w:p>
            <w:pPr>
              <w:adjustRightInd w:val="0"/>
              <w:snapToGrid w:val="0"/>
              <w:jc w:val="center"/>
              <w:rPr>
                <w:szCs w:val="21"/>
              </w:rPr>
            </w:pPr>
            <w:r>
              <w:rPr>
                <w:szCs w:val="21"/>
              </w:rPr>
              <w:t>生活污水</w:t>
            </w:r>
          </w:p>
        </w:tc>
        <w:tc>
          <w:tcPr>
            <w:tcW w:w="1134" w:type="dxa"/>
            <w:vAlign w:val="center"/>
          </w:tcPr>
          <w:p>
            <w:pPr>
              <w:adjustRightInd w:val="0"/>
              <w:snapToGrid w:val="0"/>
              <w:jc w:val="center"/>
              <w:rPr>
                <w:szCs w:val="21"/>
              </w:rPr>
            </w:pPr>
            <w:r>
              <w:rPr>
                <w:szCs w:val="21"/>
              </w:rPr>
              <w:t>COD、氨氮、SS等</w:t>
            </w:r>
          </w:p>
        </w:tc>
        <w:tc>
          <w:tcPr>
            <w:tcW w:w="2977" w:type="dxa"/>
            <w:vAlign w:val="center"/>
          </w:tcPr>
          <w:p>
            <w:pPr>
              <w:adjustRightInd w:val="0"/>
              <w:snapToGrid w:val="0"/>
              <w:jc w:val="center"/>
              <w:rPr>
                <w:szCs w:val="21"/>
              </w:rPr>
            </w:pPr>
            <w:r>
              <w:rPr>
                <w:szCs w:val="21"/>
              </w:rPr>
              <w:t>厂内洒水抑尘</w:t>
            </w:r>
          </w:p>
        </w:tc>
        <w:tc>
          <w:tcPr>
            <w:tcW w:w="1592" w:type="dxa"/>
            <w:vAlign w:val="center"/>
          </w:tcPr>
          <w:p>
            <w:pPr>
              <w:adjustRightInd w:val="0"/>
              <w:snapToGrid w:val="0"/>
              <w:jc w:val="center"/>
              <w:rPr>
                <w:szCs w:val="21"/>
              </w:rPr>
            </w:pPr>
            <w:r>
              <w:rPr>
                <w:szCs w:val="21"/>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restart"/>
            <w:vAlign w:val="center"/>
          </w:tcPr>
          <w:p>
            <w:pPr>
              <w:adjustRightInd w:val="0"/>
              <w:snapToGrid w:val="0"/>
              <w:jc w:val="center"/>
              <w:rPr>
                <w:szCs w:val="21"/>
              </w:rPr>
            </w:pPr>
            <w:r>
              <w:rPr>
                <w:szCs w:val="21"/>
              </w:rPr>
              <w:t>声环境</w:t>
            </w:r>
          </w:p>
        </w:tc>
        <w:tc>
          <w:tcPr>
            <w:tcW w:w="1559" w:type="dxa"/>
            <w:vAlign w:val="center"/>
          </w:tcPr>
          <w:p>
            <w:pPr>
              <w:jc w:val="center"/>
              <w:rPr>
                <w:szCs w:val="21"/>
              </w:rPr>
            </w:pPr>
            <w:r>
              <w:rPr>
                <w:szCs w:val="21"/>
              </w:rPr>
              <w:t>夹棒锤</w:t>
            </w:r>
          </w:p>
        </w:tc>
        <w:tc>
          <w:tcPr>
            <w:tcW w:w="1134" w:type="dxa"/>
            <w:vMerge w:val="restart"/>
            <w:vAlign w:val="center"/>
          </w:tcPr>
          <w:p>
            <w:pPr>
              <w:adjustRightInd w:val="0"/>
              <w:snapToGrid w:val="0"/>
              <w:jc w:val="center"/>
              <w:rPr>
                <w:szCs w:val="21"/>
              </w:rPr>
            </w:pPr>
            <w:r>
              <w:rPr>
                <w:szCs w:val="21"/>
              </w:rPr>
              <w:t>噪声</w:t>
            </w:r>
          </w:p>
        </w:tc>
        <w:tc>
          <w:tcPr>
            <w:tcW w:w="2977" w:type="dxa"/>
            <w:vAlign w:val="center"/>
          </w:tcPr>
          <w:p>
            <w:pPr>
              <w:jc w:val="center"/>
            </w:pPr>
            <w:r>
              <w:t>采用钢筋砼基础，锻锤</w:t>
            </w:r>
            <w:r>
              <w:rPr>
                <w:rFonts w:hint="eastAsia"/>
              </w:rPr>
              <w:t>半封闭</w:t>
            </w:r>
            <w:r>
              <w:t>，建设覆盖工棚</w:t>
            </w:r>
          </w:p>
        </w:tc>
        <w:tc>
          <w:tcPr>
            <w:tcW w:w="1592" w:type="dxa"/>
            <w:vMerge w:val="restart"/>
            <w:vAlign w:val="center"/>
          </w:tcPr>
          <w:p>
            <w:pPr>
              <w:adjustRightInd w:val="0"/>
              <w:snapToGrid w:val="0"/>
              <w:jc w:val="center"/>
              <w:rPr>
                <w:szCs w:val="21"/>
              </w:rPr>
            </w:pPr>
            <w:r>
              <w:rPr>
                <w:szCs w:val="21"/>
              </w:rPr>
              <w:t>《工业企业厂界环境噪声排放标准》（GB12348-2008）中2类标准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风机</w:t>
            </w:r>
          </w:p>
        </w:tc>
        <w:tc>
          <w:tcPr>
            <w:tcW w:w="1134" w:type="dxa"/>
            <w:vMerge w:val="continue"/>
            <w:vAlign w:val="center"/>
          </w:tcPr>
          <w:p>
            <w:pPr>
              <w:adjustRightInd w:val="0"/>
              <w:snapToGrid w:val="0"/>
              <w:jc w:val="center"/>
              <w:rPr>
                <w:szCs w:val="21"/>
              </w:rPr>
            </w:pPr>
          </w:p>
        </w:tc>
        <w:tc>
          <w:tcPr>
            <w:tcW w:w="2977" w:type="dxa"/>
            <w:vAlign w:val="center"/>
          </w:tcPr>
          <w:p>
            <w:pPr>
              <w:jc w:val="center"/>
            </w:pPr>
            <w:r>
              <w:t>选用低噪声设备，密封、减振</w:t>
            </w:r>
            <w:r>
              <w:rPr>
                <w:rFonts w:hint="eastAsia"/>
              </w:rPr>
              <w:t>，</w:t>
            </w:r>
            <w:r>
              <w:t>加装消音器</w:t>
            </w: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车床</w:t>
            </w:r>
          </w:p>
        </w:tc>
        <w:tc>
          <w:tcPr>
            <w:tcW w:w="1134" w:type="dxa"/>
            <w:vMerge w:val="continue"/>
            <w:vAlign w:val="center"/>
          </w:tcPr>
          <w:p>
            <w:pPr>
              <w:adjustRightInd w:val="0"/>
              <w:snapToGrid w:val="0"/>
              <w:jc w:val="center"/>
              <w:rPr>
                <w:szCs w:val="21"/>
              </w:rPr>
            </w:pPr>
          </w:p>
        </w:tc>
        <w:tc>
          <w:tcPr>
            <w:tcW w:w="2977" w:type="dxa"/>
            <w:vMerge w:val="restart"/>
            <w:vAlign w:val="center"/>
          </w:tcPr>
          <w:p>
            <w:pPr>
              <w:jc w:val="center"/>
            </w:pPr>
            <w:r>
              <w:t>选用低噪声设备，置于车间、减振</w:t>
            </w: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钻床</w:t>
            </w:r>
          </w:p>
        </w:tc>
        <w:tc>
          <w:tcPr>
            <w:tcW w:w="1134" w:type="dxa"/>
            <w:vMerge w:val="continue"/>
            <w:vAlign w:val="center"/>
          </w:tcPr>
          <w:p>
            <w:pPr>
              <w:adjustRightInd w:val="0"/>
              <w:snapToGrid w:val="0"/>
              <w:jc w:val="center"/>
              <w:rPr>
                <w:szCs w:val="21"/>
              </w:rPr>
            </w:pPr>
          </w:p>
        </w:tc>
        <w:tc>
          <w:tcPr>
            <w:tcW w:w="2977" w:type="dxa"/>
            <w:vMerge w:val="continue"/>
            <w:vAlign w:val="center"/>
          </w:tcPr>
          <w:p>
            <w:pPr>
              <w:adjustRightInd w:val="0"/>
              <w:snapToGrid w:val="0"/>
              <w:jc w:val="center"/>
              <w:rPr>
                <w:szCs w:val="21"/>
              </w:rPr>
            </w:pP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锯床</w:t>
            </w:r>
          </w:p>
        </w:tc>
        <w:tc>
          <w:tcPr>
            <w:tcW w:w="1134" w:type="dxa"/>
            <w:vMerge w:val="continue"/>
            <w:vAlign w:val="center"/>
          </w:tcPr>
          <w:p>
            <w:pPr>
              <w:adjustRightInd w:val="0"/>
              <w:snapToGrid w:val="0"/>
              <w:jc w:val="center"/>
              <w:rPr>
                <w:szCs w:val="21"/>
              </w:rPr>
            </w:pPr>
          </w:p>
        </w:tc>
        <w:tc>
          <w:tcPr>
            <w:tcW w:w="2977" w:type="dxa"/>
            <w:vMerge w:val="continue"/>
            <w:vAlign w:val="center"/>
          </w:tcPr>
          <w:p>
            <w:pPr>
              <w:adjustRightInd w:val="0"/>
              <w:snapToGrid w:val="0"/>
              <w:jc w:val="center"/>
              <w:rPr>
                <w:szCs w:val="21"/>
              </w:rPr>
            </w:pP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碾环机</w:t>
            </w:r>
          </w:p>
        </w:tc>
        <w:tc>
          <w:tcPr>
            <w:tcW w:w="1134" w:type="dxa"/>
            <w:vMerge w:val="continue"/>
            <w:vAlign w:val="center"/>
          </w:tcPr>
          <w:p>
            <w:pPr>
              <w:adjustRightInd w:val="0"/>
              <w:snapToGrid w:val="0"/>
              <w:jc w:val="center"/>
              <w:rPr>
                <w:szCs w:val="21"/>
              </w:rPr>
            </w:pPr>
          </w:p>
        </w:tc>
        <w:tc>
          <w:tcPr>
            <w:tcW w:w="2977" w:type="dxa"/>
            <w:vMerge w:val="continue"/>
            <w:vAlign w:val="center"/>
          </w:tcPr>
          <w:p>
            <w:pPr>
              <w:adjustRightInd w:val="0"/>
              <w:snapToGrid w:val="0"/>
              <w:jc w:val="center"/>
              <w:rPr>
                <w:szCs w:val="21"/>
              </w:rPr>
            </w:pP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00" w:type="dxa"/>
            <w:gridSpan w:val="5"/>
            <w:vAlign w:val="center"/>
          </w:tcPr>
          <w:p>
            <w:pPr>
              <w:adjustRightInd w:val="0"/>
              <w:snapToGrid w:val="0"/>
              <w:jc w:val="center"/>
              <w:rPr>
                <w:szCs w:val="21"/>
              </w:rPr>
            </w:pPr>
            <w:r>
              <w:rPr>
                <w:szCs w:val="21"/>
              </w:rPr>
              <w:t>二期工程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Align w:val="center"/>
          </w:tcPr>
          <w:p>
            <w:pPr>
              <w:adjustRightInd w:val="0"/>
              <w:snapToGrid w:val="0"/>
              <w:jc w:val="center"/>
              <w:rPr>
                <w:szCs w:val="21"/>
              </w:rPr>
            </w:pPr>
            <w:r>
              <w:rPr>
                <w:szCs w:val="21"/>
              </w:rPr>
              <w:t>大气环境</w:t>
            </w:r>
          </w:p>
        </w:tc>
        <w:tc>
          <w:tcPr>
            <w:tcW w:w="1559" w:type="dxa"/>
            <w:vAlign w:val="center"/>
          </w:tcPr>
          <w:p>
            <w:pPr>
              <w:adjustRightInd w:val="0"/>
              <w:snapToGrid w:val="0"/>
              <w:jc w:val="center"/>
              <w:rPr>
                <w:szCs w:val="21"/>
              </w:rPr>
            </w:pPr>
            <w:r>
              <w:rPr>
                <w:rFonts w:hint="eastAsia"/>
                <w:szCs w:val="21"/>
              </w:rPr>
              <w:t>DA002排气筒</w:t>
            </w:r>
          </w:p>
        </w:tc>
        <w:tc>
          <w:tcPr>
            <w:tcW w:w="1134" w:type="dxa"/>
            <w:vAlign w:val="center"/>
          </w:tcPr>
          <w:p>
            <w:pPr>
              <w:adjustRightInd w:val="0"/>
              <w:snapToGrid w:val="0"/>
              <w:jc w:val="center"/>
              <w:rPr>
                <w:szCs w:val="21"/>
              </w:rPr>
            </w:pPr>
            <w:r>
              <w:rPr>
                <w:szCs w:val="21"/>
              </w:rPr>
              <w:t>烟尘、SO</w:t>
            </w:r>
            <w:r>
              <w:rPr>
                <w:szCs w:val="21"/>
                <w:vertAlign w:val="subscript"/>
              </w:rPr>
              <w:t>2</w:t>
            </w:r>
            <w:r>
              <w:rPr>
                <w:szCs w:val="21"/>
              </w:rPr>
              <w:t>、NO</w:t>
            </w:r>
            <w:r>
              <w:rPr>
                <w:szCs w:val="21"/>
                <w:vertAlign w:val="subscript"/>
              </w:rPr>
              <w:t>X</w:t>
            </w:r>
          </w:p>
        </w:tc>
        <w:tc>
          <w:tcPr>
            <w:tcW w:w="2977" w:type="dxa"/>
            <w:vAlign w:val="center"/>
          </w:tcPr>
          <w:p>
            <w:pPr>
              <w:adjustRightInd w:val="0"/>
              <w:snapToGrid w:val="0"/>
              <w:jc w:val="center"/>
              <w:rPr>
                <w:szCs w:val="21"/>
              </w:rPr>
            </w:pPr>
            <w:r>
              <w:rPr>
                <w:szCs w:val="21"/>
              </w:rPr>
              <w:t>一套SCR脱硝装置，燃烧废气经处理后通过15m高排气筒排放，脱硝效率为</w:t>
            </w:r>
            <w:r>
              <w:rPr>
                <w:rFonts w:hint="eastAsia"/>
                <w:szCs w:val="21"/>
              </w:rPr>
              <w:t>8</w:t>
            </w:r>
            <w:r>
              <w:rPr>
                <w:szCs w:val="21"/>
              </w:rPr>
              <w:t>0%</w:t>
            </w:r>
          </w:p>
        </w:tc>
        <w:tc>
          <w:tcPr>
            <w:tcW w:w="1592" w:type="dxa"/>
            <w:vAlign w:val="center"/>
          </w:tcPr>
          <w:p>
            <w:pPr>
              <w:adjustRightInd w:val="0"/>
              <w:snapToGrid w:val="0"/>
              <w:jc w:val="center"/>
              <w:rPr>
                <w:szCs w:val="21"/>
              </w:rPr>
            </w:pPr>
            <w:r>
              <w:rPr>
                <w:spacing w:val="-18"/>
                <w:szCs w:val="21"/>
              </w:rPr>
              <w:t>《</w:t>
            </w:r>
            <w:r>
              <w:rPr>
                <w:szCs w:val="21"/>
              </w:rPr>
              <w:t>山西省工业炉窑大气污染综合治理实施方案》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Align w:val="center"/>
          </w:tcPr>
          <w:p>
            <w:pPr>
              <w:adjustRightInd w:val="0"/>
              <w:snapToGrid w:val="0"/>
              <w:jc w:val="center"/>
              <w:rPr>
                <w:szCs w:val="21"/>
              </w:rPr>
            </w:pPr>
            <w:r>
              <w:rPr>
                <w:szCs w:val="21"/>
              </w:rPr>
              <w:t>地表水环境</w:t>
            </w:r>
          </w:p>
        </w:tc>
        <w:tc>
          <w:tcPr>
            <w:tcW w:w="1559" w:type="dxa"/>
            <w:vAlign w:val="center"/>
          </w:tcPr>
          <w:p>
            <w:pPr>
              <w:adjustRightInd w:val="0"/>
              <w:snapToGrid w:val="0"/>
              <w:jc w:val="center"/>
              <w:rPr>
                <w:szCs w:val="21"/>
              </w:rPr>
            </w:pPr>
            <w:r>
              <w:rPr>
                <w:szCs w:val="21"/>
              </w:rPr>
              <w:t>生活污水</w:t>
            </w:r>
          </w:p>
        </w:tc>
        <w:tc>
          <w:tcPr>
            <w:tcW w:w="1134" w:type="dxa"/>
            <w:vAlign w:val="center"/>
          </w:tcPr>
          <w:p>
            <w:pPr>
              <w:adjustRightInd w:val="0"/>
              <w:snapToGrid w:val="0"/>
              <w:jc w:val="center"/>
              <w:rPr>
                <w:szCs w:val="21"/>
              </w:rPr>
            </w:pPr>
            <w:r>
              <w:rPr>
                <w:szCs w:val="21"/>
              </w:rPr>
              <w:t>COD、氨氮、SS等</w:t>
            </w:r>
          </w:p>
        </w:tc>
        <w:tc>
          <w:tcPr>
            <w:tcW w:w="2977" w:type="dxa"/>
            <w:vAlign w:val="center"/>
          </w:tcPr>
          <w:p>
            <w:pPr>
              <w:adjustRightInd w:val="0"/>
              <w:snapToGrid w:val="0"/>
              <w:jc w:val="center"/>
              <w:rPr>
                <w:szCs w:val="21"/>
              </w:rPr>
            </w:pPr>
            <w:r>
              <w:rPr>
                <w:szCs w:val="21"/>
              </w:rPr>
              <w:t>厂内洒水抑尘</w:t>
            </w:r>
          </w:p>
        </w:tc>
        <w:tc>
          <w:tcPr>
            <w:tcW w:w="1592" w:type="dxa"/>
            <w:vAlign w:val="center"/>
          </w:tcPr>
          <w:p>
            <w:pPr>
              <w:adjustRightInd w:val="0"/>
              <w:snapToGrid w:val="0"/>
              <w:jc w:val="center"/>
              <w:rPr>
                <w:szCs w:val="21"/>
              </w:rPr>
            </w:pPr>
            <w:r>
              <w:rPr>
                <w:szCs w:val="21"/>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restart"/>
            <w:vAlign w:val="center"/>
          </w:tcPr>
          <w:p>
            <w:pPr>
              <w:adjustRightInd w:val="0"/>
              <w:snapToGrid w:val="0"/>
              <w:jc w:val="center"/>
              <w:rPr>
                <w:szCs w:val="21"/>
              </w:rPr>
            </w:pPr>
            <w:r>
              <w:rPr>
                <w:szCs w:val="21"/>
              </w:rPr>
              <w:t>声环境</w:t>
            </w:r>
          </w:p>
        </w:tc>
        <w:tc>
          <w:tcPr>
            <w:tcW w:w="1559" w:type="dxa"/>
            <w:vAlign w:val="center"/>
          </w:tcPr>
          <w:p>
            <w:pPr>
              <w:jc w:val="center"/>
              <w:rPr>
                <w:szCs w:val="21"/>
              </w:rPr>
            </w:pPr>
            <w:r>
              <w:rPr>
                <w:rFonts w:hint="eastAsia"/>
                <w:szCs w:val="21"/>
              </w:rPr>
              <w:t>空气锤</w:t>
            </w:r>
          </w:p>
        </w:tc>
        <w:tc>
          <w:tcPr>
            <w:tcW w:w="1134" w:type="dxa"/>
            <w:vMerge w:val="restart"/>
            <w:vAlign w:val="center"/>
          </w:tcPr>
          <w:p>
            <w:pPr>
              <w:adjustRightInd w:val="0"/>
              <w:snapToGrid w:val="0"/>
              <w:jc w:val="center"/>
              <w:rPr>
                <w:szCs w:val="21"/>
              </w:rPr>
            </w:pPr>
            <w:r>
              <w:rPr>
                <w:szCs w:val="21"/>
              </w:rPr>
              <w:t>噪声</w:t>
            </w:r>
          </w:p>
        </w:tc>
        <w:tc>
          <w:tcPr>
            <w:tcW w:w="2977" w:type="dxa"/>
            <w:vAlign w:val="center"/>
          </w:tcPr>
          <w:p>
            <w:pPr>
              <w:jc w:val="center"/>
            </w:pPr>
            <w:r>
              <w:t>采用钢筋砼基础，锻锤</w:t>
            </w:r>
            <w:r>
              <w:rPr>
                <w:rFonts w:hint="eastAsia"/>
              </w:rPr>
              <w:t>全封闭</w:t>
            </w:r>
            <w:r>
              <w:t>，建设覆盖工棚</w:t>
            </w:r>
          </w:p>
        </w:tc>
        <w:tc>
          <w:tcPr>
            <w:tcW w:w="1592" w:type="dxa"/>
            <w:vMerge w:val="restart"/>
            <w:vAlign w:val="center"/>
          </w:tcPr>
          <w:p>
            <w:pPr>
              <w:adjustRightInd w:val="0"/>
              <w:snapToGrid w:val="0"/>
              <w:jc w:val="center"/>
              <w:rPr>
                <w:szCs w:val="21"/>
              </w:rPr>
            </w:pPr>
            <w:r>
              <w:rPr>
                <w:szCs w:val="21"/>
              </w:rPr>
              <w:t>《工业企业厂界环境噪声排放标准》（GB12348-2008）中2类标准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风机</w:t>
            </w:r>
          </w:p>
        </w:tc>
        <w:tc>
          <w:tcPr>
            <w:tcW w:w="1134" w:type="dxa"/>
            <w:vMerge w:val="continue"/>
            <w:vAlign w:val="center"/>
          </w:tcPr>
          <w:p>
            <w:pPr>
              <w:adjustRightInd w:val="0"/>
              <w:snapToGrid w:val="0"/>
              <w:jc w:val="center"/>
              <w:rPr>
                <w:szCs w:val="21"/>
              </w:rPr>
            </w:pPr>
          </w:p>
        </w:tc>
        <w:tc>
          <w:tcPr>
            <w:tcW w:w="2977" w:type="dxa"/>
            <w:vAlign w:val="center"/>
          </w:tcPr>
          <w:p>
            <w:pPr>
              <w:jc w:val="center"/>
            </w:pPr>
            <w:r>
              <w:t>选用低噪声设备，密封、减振</w:t>
            </w:r>
            <w:r>
              <w:rPr>
                <w:rFonts w:hint="eastAsia"/>
              </w:rPr>
              <w:t>，</w:t>
            </w:r>
            <w:r>
              <w:t>加装消音器</w:t>
            </w: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车床</w:t>
            </w:r>
          </w:p>
        </w:tc>
        <w:tc>
          <w:tcPr>
            <w:tcW w:w="1134" w:type="dxa"/>
            <w:vMerge w:val="continue"/>
            <w:vAlign w:val="center"/>
          </w:tcPr>
          <w:p>
            <w:pPr>
              <w:adjustRightInd w:val="0"/>
              <w:snapToGrid w:val="0"/>
              <w:jc w:val="center"/>
              <w:rPr>
                <w:szCs w:val="21"/>
              </w:rPr>
            </w:pPr>
          </w:p>
        </w:tc>
        <w:tc>
          <w:tcPr>
            <w:tcW w:w="2977" w:type="dxa"/>
            <w:vMerge w:val="restart"/>
            <w:vAlign w:val="center"/>
          </w:tcPr>
          <w:p>
            <w:pPr>
              <w:jc w:val="center"/>
            </w:pPr>
            <w:r>
              <w:t>选用低噪声设备，置于车间、减振</w:t>
            </w: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钻床</w:t>
            </w:r>
          </w:p>
        </w:tc>
        <w:tc>
          <w:tcPr>
            <w:tcW w:w="1134" w:type="dxa"/>
            <w:vMerge w:val="continue"/>
            <w:vAlign w:val="center"/>
          </w:tcPr>
          <w:p>
            <w:pPr>
              <w:adjustRightInd w:val="0"/>
              <w:snapToGrid w:val="0"/>
              <w:jc w:val="center"/>
              <w:rPr>
                <w:szCs w:val="21"/>
              </w:rPr>
            </w:pPr>
          </w:p>
        </w:tc>
        <w:tc>
          <w:tcPr>
            <w:tcW w:w="2977" w:type="dxa"/>
            <w:vMerge w:val="continue"/>
            <w:vAlign w:val="center"/>
          </w:tcPr>
          <w:p>
            <w:pPr>
              <w:adjustRightInd w:val="0"/>
              <w:snapToGrid w:val="0"/>
              <w:jc w:val="center"/>
              <w:rPr>
                <w:szCs w:val="21"/>
              </w:rPr>
            </w:pP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锯床</w:t>
            </w:r>
          </w:p>
        </w:tc>
        <w:tc>
          <w:tcPr>
            <w:tcW w:w="1134" w:type="dxa"/>
            <w:vMerge w:val="continue"/>
            <w:vAlign w:val="center"/>
          </w:tcPr>
          <w:p>
            <w:pPr>
              <w:adjustRightInd w:val="0"/>
              <w:snapToGrid w:val="0"/>
              <w:jc w:val="center"/>
              <w:rPr>
                <w:szCs w:val="21"/>
              </w:rPr>
            </w:pPr>
          </w:p>
        </w:tc>
        <w:tc>
          <w:tcPr>
            <w:tcW w:w="2977" w:type="dxa"/>
            <w:vMerge w:val="continue"/>
            <w:vAlign w:val="center"/>
          </w:tcPr>
          <w:p>
            <w:pPr>
              <w:adjustRightInd w:val="0"/>
              <w:snapToGrid w:val="0"/>
              <w:jc w:val="center"/>
              <w:rPr>
                <w:szCs w:val="21"/>
              </w:rPr>
            </w:pP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continue"/>
            <w:vAlign w:val="center"/>
          </w:tcPr>
          <w:p>
            <w:pPr>
              <w:adjustRightInd w:val="0"/>
              <w:snapToGrid w:val="0"/>
              <w:jc w:val="center"/>
              <w:rPr>
                <w:szCs w:val="21"/>
              </w:rPr>
            </w:pPr>
          </w:p>
        </w:tc>
        <w:tc>
          <w:tcPr>
            <w:tcW w:w="1559" w:type="dxa"/>
            <w:vAlign w:val="center"/>
          </w:tcPr>
          <w:p>
            <w:pPr>
              <w:jc w:val="center"/>
              <w:rPr>
                <w:szCs w:val="21"/>
              </w:rPr>
            </w:pPr>
            <w:r>
              <w:rPr>
                <w:szCs w:val="21"/>
              </w:rPr>
              <w:t>碾环机</w:t>
            </w:r>
          </w:p>
        </w:tc>
        <w:tc>
          <w:tcPr>
            <w:tcW w:w="1134" w:type="dxa"/>
            <w:vMerge w:val="continue"/>
            <w:vAlign w:val="center"/>
          </w:tcPr>
          <w:p>
            <w:pPr>
              <w:adjustRightInd w:val="0"/>
              <w:snapToGrid w:val="0"/>
              <w:jc w:val="center"/>
              <w:rPr>
                <w:szCs w:val="21"/>
              </w:rPr>
            </w:pPr>
          </w:p>
        </w:tc>
        <w:tc>
          <w:tcPr>
            <w:tcW w:w="2977" w:type="dxa"/>
            <w:vMerge w:val="continue"/>
            <w:vAlign w:val="center"/>
          </w:tcPr>
          <w:p>
            <w:pPr>
              <w:adjustRightInd w:val="0"/>
              <w:snapToGrid w:val="0"/>
              <w:jc w:val="center"/>
              <w:rPr>
                <w:szCs w:val="21"/>
              </w:rPr>
            </w:pPr>
          </w:p>
        </w:tc>
        <w:tc>
          <w:tcPr>
            <w:tcW w:w="1592" w:type="dxa"/>
            <w:vMerge w:val="continue"/>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5" w:hRule="atLeast"/>
          <w:jc w:val="center"/>
        </w:trPr>
        <w:tc>
          <w:tcPr>
            <w:tcW w:w="1538" w:type="dxa"/>
            <w:vAlign w:val="center"/>
          </w:tcPr>
          <w:p>
            <w:pPr>
              <w:adjustRightInd w:val="0"/>
              <w:snapToGrid w:val="0"/>
              <w:jc w:val="center"/>
              <w:rPr>
                <w:szCs w:val="21"/>
              </w:rPr>
            </w:pPr>
            <w:r>
              <w:rPr>
                <w:szCs w:val="21"/>
              </w:rPr>
              <w:t>电磁辐射</w:t>
            </w:r>
          </w:p>
        </w:tc>
        <w:tc>
          <w:tcPr>
            <w:tcW w:w="7262" w:type="dxa"/>
            <w:gridSpan w:val="4"/>
            <w:vAlign w:val="center"/>
          </w:tcPr>
          <w:p>
            <w:pPr>
              <w:adjustRightInd w:val="0"/>
              <w:snapToGrid w:val="0"/>
              <w:jc w:val="center"/>
              <w:rPr>
                <w:szCs w:val="21"/>
              </w:rPr>
            </w:pPr>
            <w:r>
              <w:rPr>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38" w:type="dxa"/>
            <w:vAlign w:val="center"/>
          </w:tcPr>
          <w:p>
            <w:pPr>
              <w:adjustRightInd w:val="0"/>
              <w:snapToGrid w:val="0"/>
              <w:jc w:val="center"/>
              <w:rPr>
                <w:szCs w:val="21"/>
              </w:rPr>
            </w:pPr>
            <w:r>
              <w:rPr>
                <w:szCs w:val="21"/>
              </w:rPr>
              <w:t>固体废物</w:t>
            </w:r>
          </w:p>
        </w:tc>
        <w:tc>
          <w:tcPr>
            <w:tcW w:w="7262" w:type="dxa"/>
            <w:gridSpan w:val="4"/>
            <w:vAlign w:val="center"/>
          </w:tcPr>
          <w:p>
            <w:pPr>
              <w:adjustRightInd w:val="0"/>
              <w:snapToGrid w:val="0"/>
              <w:ind w:firstLine="420" w:firstLineChars="200"/>
              <w:jc w:val="left"/>
              <w:rPr>
                <w:szCs w:val="21"/>
              </w:rPr>
            </w:pPr>
            <w:r>
              <w:rPr>
                <w:bCs/>
                <w:szCs w:val="21"/>
              </w:rPr>
              <w:t>本项目废塑料</w:t>
            </w:r>
            <w:r>
              <w:rPr>
                <w:rFonts w:hint="eastAsia"/>
                <w:bCs/>
                <w:szCs w:val="21"/>
              </w:rPr>
              <w:t>、</w:t>
            </w:r>
            <w:r>
              <w:rPr>
                <w:bCs/>
                <w:szCs w:val="21"/>
              </w:rPr>
              <w:t>废木板收集后综合利用</w:t>
            </w:r>
            <w:r>
              <w:rPr>
                <w:rFonts w:hint="eastAsia"/>
                <w:bCs/>
                <w:szCs w:val="21"/>
              </w:rPr>
              <w:t>，</w:t>
            </w:r>
            <w:r>
              <w:rPr>
                <w:bCs/>
                <w:szCs w:val="21"/>
              </w:rPr>
              <w:t>氧化铁皮、废铁屑及边角料暂存于固废暂存</w:t>
            </w:r>
            <w:r>
              <w:rPr>
                <w:rFonts w:hint="eastAsia"/>
                <w:bCs/>
                <w:szCs w:val="21"/>
              </w:rPr>
              <w:t>间</w:t>
            </w:r>
            <w:r>
              <w:rPr>
                <w:bCs/>
                <w:szCs w:val="21"/>
              </w:rPr>
              <w:t>，定期外售废品回收站，生活垃圾定期送环卫部门处置，设置危险废物暂存间对废机油、废乳化液危险废物进行暂存，定期交有资质单位处置。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38" w:type="dxa"/>
            <w:vAlign w:val="center"/>
          </w:tcPr>
          <w:p>
            <w:pPr>
              <w:adjustRightInd w:val="0"/>
              <w:snapToGrid w:val="0"/>
              <w:jc w:val="center"/>
              <w:rPr>
                <w:szCs w:val="21"/>
              </w:rPr>
            </w:pPr>
            <w:r>
              <w:rPr>
                <w:szCs w:val="21"/>
              </w:rPr>
              <w:t>土壤及地下水</w:t>
            </w:r>
          </w:p>
          <w:p>
            <w:pPr>
              <w:adjustRightInd w:val="0"/>
              <w:snapToGrid w:val="0"/>
              <w:jc w:val="center"/>
              <w:rPr>
                <w:szCs w:val="21"/>
              </w:rPr>
            </w:pPr>
            <w:r>
              <w:rPr>
                <w:szCs w:val="21"/>
              </w:rPr>
              <w:t>污染防治措施</w:t>
            </w:r>
          </w:p>
        </w:tc>
        <w:tc>
          <w:tcPr>
            <w:tcW w:w="7262" w:type="dxa"/>
            <w:gridSpan w:val="4"/>
            <w:vAlign w:val="center"/>
          </w:tcPr>
          <w:p>
            <w:pPr>
              <w:adjustRightInd w:val="0"/>
              <w:snapToGrid w:val="0"/>
              <w:ind w:firstLine="420" w:firstLineChars="200"/>
              <w:rPr>
                <w:bCs/>
                <w:szCs w:val="21"/>
              </w:rPr>
            </w:pPr>
            <w:r>
              <w:rPr>
                <w:rFonts w:hint="eastAsia"/>
                <w:bCs/>
                <w:szCs w:val="21"/>
              </w:rPr>
              <w:t>对机加工设备进行定期维护保养，减少由于设备故障而导致产生的废机油、废乳化液产生量，并在设备底部设置集油盘对跑、冒、滴、漏产生的废机油进行收集；对危废暂存间采取专人定期巡检制度，采用符合标准的容器暂存危险废物，严防危险废物发生泄漏事故。</w:t>
            </w:r>
          </w:p>
          <w:p>
            <w:pPr>
              <w:adjustRightInd w:val="0"/>
              <w:snapToGrid w:val="0"/>
              <w:ind w:firstLine="420" w:firstLineChars="200"/>
              <w:rPr>
                <w:szCs w:val="21"/>
              </w:rPr>
            </w:pPr>
            <w:r>
              <w:rPr>
                <w:bCs/>
                <w:szCs w:val="21"/>
              </w:rPr>
              <w:t>办公区、绿化带及场内道路进行简单防渗，一般地面硬化；生产区、固废暂存</w:t>
            </w:r>
            <w:r>
              <w:rPr>
                <w:rFonts w:hint="eastAsia"/>
                <w:bCs/>
                <w:szCs w:val="21"/>
              </w:rPr>
              <w:t>间</w:t>
            </w:r>
            <w:r>
              <w:rPr>
                <w:bCs/>
                <w:szCs w:val="21"/>
              </w:rPr>
              <w:t>及旱厕进行一般防渗，防渗性能不应低于1.5m厚渗透系数为1.0×10</w:t>
            </w:r>
            <w:r>
              <w:rPr>
                <w:bCs/>
                <w:szCs w:val="21"/>
                <w:vertAlign w:val="superscript"/>
              </w:rPr>
              <w:t>-7</w:t>
            </w:r>
            <w:r>
              <w:rPr>
                <w:bCs/>
                <w:szCs w:val="21"/>
              </w:rPr>
              <w:t>cm/s的黏土层的防渗性能；危废暂存间进行重点防渗，防渗性能不应低于6.0m厚渗透系数为1.0×10</w:t>
            </w:r>
            <w:r>
              <w:rPr>
                <w:bCs/>
                <w:szCs w:val="21"/>
                <w:vertAlign w:val="superscript"/>
              </w:rPr>
              <w:t>-7</w:t>
            </w:r>
            <w:r>
              <w:rPr>
                <w:bCs/>
                <w:szCs w:val="21"/>
              </w:rPr>
              <w:t>cm/s的粘土层的防渗性能。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38" w:type="dxa"/>
            <w:vAlign w:val="center"/>
          </w:tcPr>
          <w:p>
            <w:pPr>
              <w:adjustRightInd w:val="0"/>
              <w:snapToGrid w:val="0"/>
              <w:jc w:val="center"/>
              <w:rPr>
                <w:szCs w:val="21"/>
              </w:rPr>
            </w:pPr>
            <w:r>
              <w:rPr>
                <w:szCs w:val="21"/>
              </w:rPr>
              <w:t>生态保护措施</w:t>
            </w:r>
          </w:p>
        </w:tc>
        <w:tc>
          <w:tcPr>
            <w:tcW w:w="7262" w:type="dxa"/>
            <w:gridSpan w:val="4"/>
            <w:vAlign w:val="center"/>
          </w:tcPr>
          <w:p>
            <w:pPr>
              <w:adjustRightInd w:val="0"/>
              <w:snapToGrid w:val="0"/>
              <w:ind w:firstLine="420" w:firstLineChars="200"/>
              <w:jc w:val="left"/>
              <w:rPr>
                <w:szCs w:val="21"/>
              </w:rPr>
            </w:pPr>
            <w:r>
              <w:rPr>
                <w:bCs/>
                <w:szCs w:val="21"/>
              </w:rPr>
              <w:t>环评要求在厂区四周种植树木，以乔木绿化为主，乔、灌、草配置合理，形成较完整的景观面貌。利用绿色植物作为治理工业污染的一种经济长效手段，发挥它们在吸收有害气体、净化空气、改善环境、保持生态平衡等方面的重要作用，通过种植丰富多样的植被来提高生物多样性。本项目厂区绿化面积为400m</w:t>
            </w:r>
            <w:r>
              <w:rPr>
                <w:bCs/>
                <w:szCs w:val="21"/>
                <w:vertAlign w:val="superscript"/>
              </w:rPr>
              <w:t>2</w:t>
            </w:r>
            <w:r>
              <w:rPr>
                <w:bCs/>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38" w:type="dxa"/>
            <w:vAlign w:val="center"/>
          </w:tcPr>
          <w:p>
            <w:pPr>
              <w:adjustRightInd w:val="0"/>
              <w:snapToGrid w:val="0"/>
              <w:jc w:val="center"/>
              <w:rPr>
                <w:szCs w:val="21"/>
              </w:rPr>
            </w:pPr>
            <w:r>
              <w:rPr>
                <w:szCs w:val="21"/>
              </w:rPr>
              <w:t>环境风险</w:t>
            </w:r>
          </w:p>
          <w:p>
            <w:pPr>
              <w:adjustRightInd w:val="0"/>
              <w:snapToGrid w:val="0"/>
              <w:jc w:val="center"/>
              <w:rPr>
                <w:spacing w:val="-8"/>
                <w:szCs w:val="21"/>
              </w:rPr>
            </w:pPr>
            <w:r>
              <w:rPr>
                <w:szCs w:val="21"/>
              </w:rPr>
              <w:t>防范措施</w:t>
            </w:r>
          </w:p>
        </w:tc>
        <w:tc>
          <w:tcPr>
            <w:tcW w:w="7262" w:type="dxa"/>
            <w:gridSpan w:val="4"/>
            <w:vAlign w:val="center"/>
          </w:tcPr>
          <w:p>
            <w:pPr>
              <w:adjustRightInd w:val="0"/>
              <w:snapToGrid w:val="0"/>
              <w:ind w:firstLine="420" w:firstLineChars="200"/>
              <w:jc w:val="left"/>
              <w:rPr>
                <w:bCs/>
                <w:szCs w:val="21"/>
              </w:rPr>
            </w:pPr>
            <w:r>
              <w:rPr>
                <w:bCs/>
                <w:szCs w:val="21"/>
              </w:rPr>
              <w:t>（1）危险废物暂存间</w:t>
            </w:r>
          </w:p>
          <w:p>
            <w:pPr>
              <w:adjustRightInd w:val="0"/>
              <w:snapToGrid w:val="0"/>
              <w:ind w:firstLine="420" w:firstLineChars="200"/>
              <w:jc w:val="left"/>
              <w:rPr>
                <w:bCs/>
                <w:szCs w:val="21"/>
              </w:rPr>
            </w:pPr>
            <w:r>
              <w:rPr>
                <w:rFonts w:hint="eastAsia" w:ascii="宋体" w:hAnsi="宋体" w:cs="宋体"/>
                <w:bCs/>
                <w:szCs w:val="21"/>
              </w:rPr>
              <w:t>①</w:t>
            </w:r>
            <w:r>
              <w:rPr>
                <w:bCs/>
                <w:szCs w:val="21"/>
              </w:rPr>
              <w:t>按要求进行防风、防雨、防晒、防渗漏等措施，对地面及裙角进行了防渗，防渗性能不应低于6.0m厚渗透系数为1.0×10</w:t>
            </w:r>
            <w:r>
              <w:rPr>
                <w:bCs/>
                <w:szCs w:val="21"/>
                <w:vertAlign w:val="superscript"/>
              </w:rPr>
              <w:t>-7</w:t>
            </w:r>
            <w:r>
              <w:rPr>
                <w:bCs/>
                <w:szCs w:val="21"/>
              </w:rPr>
              <w:t xml:space="preserve">cm/s的粘土层的防渗性能。 </w:t>
            </w:r>
          </w:p>
          <w:p>
            <w:pPr>
              <w:adjustRightInd w:val="0"/>
              <w:snapToGrid w:val="0"/>
              <w:ind w:firstLine="420" w:firstLineChars="200"/>
              <w:jc w:val="left"/>
              <w:rPr>
                <w:bCs/>
                <w:szCs w:val="21"/>
              </w:rPr>
            </w:pPr>
            <w:r>
              <w:rPr>
                <w:rFonts w:hint="eastAsia" w:ascii="宋体" w:hAnsi="宋体" w:cs="宋体"/>
                <w:bCs/>
                <w:szCs w:val="21"/>
              </w:rPr>
              <w:t>②</w:t>
            </w:r>
            <w:r>
              <w:rPr>
                <w:bCs/>
                <w:szCs w:val="21"/>
              </w:rPr>
              <w:t>危废暂存间内设有防治流体流散的设施和集油（水）坑，地面按5‰坡度坡向集油坑，室内地面较大门下口低0.1m，地面为不发火混凝土地面，门、窗采用防火门窗，窗台距室内地面高度为1.8m。</w:t>
            </w:r>
          </w:p>
          <w:p>
            <w:pPr>
              <w:adjustRightInd w:val="0"/>
              <w:snapToGrid w:val="0"/>
              <w:ind w:firstLine="420" w:firstLineChars="200"/>
              <w:jc w:val="left"/>
              <w:rPr>
                <w:bCs/>
                <w:szCs w:val="21"/>
              </w:rPr>
            </w:pPr>
            <w:r>
              <w:rPr>
                <w:rFonts w:hint="eastAsia" w:ascii="宋体" w:hAnsi="宋体" w:cs="宋体"/>
                <w:bCs/>
                <w:szCs w:val="21"/>
              </w:rPr>
              <w:t>③</w:t>
            </w:r>
            <w:r>
              <w:rPr>
                <w:bCs/>
                <w:szCs w:val="21"/>
              </w:rPr>
              <w:t>设立标志，加强巡检，防止人为破坏。建成运营后，要提高操作人员的素质和管理水平，防止或减少事故风险的发生，确保危废暂存间的的正常运行。</w:t>
            </w:r>
          </w:p>
          <w:p>
            <w:pPr>
              <w:adjustRightInd w:val="0"/>
              <w:snapToGrid w:val="0"/>
              <w:ind w:firstLine="420" w:firstLineChars="200"/>
              <w:jc w:val="left"/>
              <w:rPr>
                <w:bCs/>
                <w:szCs w:val="21"/>
              </w:rPr>
            </w:pPr>
            <w:r>
              <w:rPr>
                <w:rFonts w:hint="eastAsia" w:ascii="宋体" w:hAnsi="宋体" w:cs="宋体"/>
                <w:bCs/>
                <w:szCs w:val="21"/>
              </w:rPr>
              <w:t>④</w:t>
            </w:r>
            <w:r>
              <w:rPr>
                <w:bCs/>
                <w:szCs w:val="21"/>
              </w:rPr>
              <w:t>发生泄漏时，应急人员应立即开展应急抢险工作，用工具围堵油品，防止扩散，紧急回收，同时在现场布置消防器材。</w:t>
            </w:r>
          </w:p>
          <w:p>
            <w:pPr>
              <w:adjustRightInd w:val="0"/>
              <w:snapToGrid w:val="0"/>
              <w:ind w:firstLine="420" w:firstLineChars="200"/>
              <w:jc w:val="left"/>
              <w:rPr>
                <w:szCs w:val="21"/>
              </w:rPr>
            </w:pPr>
            <w:r>
              <w:rPr>
                <w:szCs w:val="21"/>
              </w:rPr>
              <w:t>（2）天然气</w:t>
            </w:r>
          </w:p>
          <w:p>
            <w:pPr>
              <w:adjustRightInd w:val="0"/>
              <w:snapToGrid w:val="0"/>
              <w:ind w:firstLine="420" w:firstLineChars="200"/>
              <w:jc w:val="left"/>
              <w:rPr>
                <w:szCs w:val="21"/>
              </w:rPr>
            </w:pPr>
            <w:r>
              <w:rPr>
                <w:rFonts w:hint="eastAsia" w:ascii="宋体" w:hAnsi="宋体" w:cs="宋体"/>
                <w:szCs w:val="21"/>
              </w:rPr>
              <w:t>①</w:t>
            </w:r>
            <w:r>
              <w:rPr>
                <w:szCs w:val="21"/>
              </w:rPr>
              <w:t>天然气输送管线必须选用符合国家标准和要求的管材，并有日常检查制度。</w:t>
            </w:r>
          </w:p>
          <w:p>
            <w:pPr>
              <w:adjustRightInd w:val="0"/>
              <w:snapToGrid w:val="0"/>
              <w:ind w:firstLine="420" w:firstLineChars="200"/>
              <w:jc w:val="left"/>
              <w:rPr>
                <w:szCs w:val="21"/>
              </w:rPr>
            </w:pPr>
            <w:r>
              <w:rPr>
                <w:rFonts w:hint="eastAsia" w:ascii="宋体" w:hAnsi="宋体" w:cs="宋体"/>
                <w:szCs w:val="21"/>
              </w:rPr>
              <w:t>②</w:t>
            </w:r>
            <w:r>
              <w:rPr>
                <w:szCs w:val="21"/>
              </w:rPr>
              <w:t>施工时地下燃气管道与构筑物或相邻管道之间垂直净距要严格按照国家有关规定执行。</w:t>
            </w:r>
          </w:p>
          <w:p>
            <w:pPr>
              <w:adjustRightInd w:val="0"/>
              <w:snapToGrid w:val="0"/>
              <w:ind w:firstLine="420" w:firstLineChars="200"/>
              <w:jc w:val="left"/>
              <w:rPr>
                <w:szCs w:val="21"/>
              </w:rPr>
            </w:pPr>
            <w:r>
              <w:rPr>
                <w:rFonts w:hint="eastAsia" w:ascii="宋体" w:hAnsi="宋体" w:cs="宋体"/>
                <w:szCs w:val="21"/>
              </w:rPr>
              <w:t>③</w:t>
            </w:r>
            <w:r>
              <w:rPr>
                <w:szCs w:val="21"/>
              </w:rPr>
              <w:t>天然气管道要采取防腐处理和阴极保护措施。</w:t>
            </w:r>
          </w:p>
          <w:p>
            <w:pPr>
              <w:adjustRightInd w:val="0"/>
              <w:snapToGrid w:val="0"/>
              <w:ind w:firstLine="420" w:firstLineChars="200"/>
              <w:jc w:val="left"/>
              <w:rPr>
                <w:szCs w:val="21"/>
              </w:rPr>
            </w:pPr>
            <w:r>
              <w:rPr>
                <w:rFonts w:hint="eastAsia" w:ascii="宋体" w:hAnsi="宋体" w:cs="宋体"/>
                <w:szCs w:val="21"/>
              </w:rPr>
              <w:t>④</w:t>
            </w:r>
            <w:r>
              <w:rPr>
                <w:szCs w:val="21"/>
              </w:rPr>
              <w:t>对施工队伍要选择专业的施工队伍，保证质量，配备有经验的监理人员对施工质量进行全方位监督。</w:t>
            </w:r>
          </w:p>
          <w:p>
            <w:pPr>
              <w:adjustRightInd w:val="0"/>
              <w:snapToGrid w:val="0"/>
              <w:ind w:firstLine="420" w:firstLineChars="200"/>
              <w:jc w:val="left"/>
              <w:rPr>
                <w:szCs w:val="21"/>
              </w:rPr>
            </w:pPr>
            <w:r>
              <w:rPr>
                <w:rFonts w:hint="eastAsia" w:ascii="宋体" w:hAnsi="宋体" w:cs="宋体"/>
                <w:szCs w:val="21"/>
              </w:rPr>
              <w:t>⑤</w:t>
            </w:r>
            <w:r>
              <w:rPr>
                <w:szCs w:val="21"/>
              </w:rPr>
              <w:t>提高人员素质，加强责任心教育，完善有关操作条例来防止人为因素引发的事故。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538" w:type="dxa"/>
            <w:vAlign w:val="center"/>
          </w:tcPr>
          <w:p>
            <w:pPr>
              <w:adjustRightInd w:val="0"/>
              <w:snapToGrid w:val="0"/>
              <w:jc w:val="center"/>
              <w:rPr>
                <w:szCs w:val="21"/>
              </w:rPr>
            </w:pPr>
            <w:r>
              <w:rPr>
                <w:szCs w:val="21"/>
              </w:rPr>
              <w:t>其他环境</w:t>
            </w:r>
          </w:p>
          <w:p>
            <w:pPr>
              <w:adjustRightInd w:val="0"/>
              <w:snapToGrid w:val="0"/>
              <w:jc w:val="center"/>
              <w:rPr>
                <w:spacing w:val="-8"/>
                <w:szCs w:val="21"/>
              </w:rPr>
            </w:pPr>
            <w:r>
              <w:rPr>
                <w:szCs w:val="21"/>
              </w:rPr>
              <w:t>管理要求</w:t>
            </w:r>
          </w:p>
        </w:tc>
        <w:tc>
          <w:tcPr>
            <w:tcW w:w="7262" w:type="dxa"/>
            <w:gridSpan w:val="4"/>
            <w:vAlign w:val="center"/>
          </w:tcPr>
          <w:p>
            <w:pPr>
              <w:adjustRightInd w:val="0"/>
              <w:snapToGrid w:val="0"/>
              <w:ind w:firstLine="422" w:firstLineChars="200"/>
              <w:rPr>
                <w:b/>
                <w:szCs w:val="21"/>
              </w:rPr>
            </w:pPr>
            <w:r>
              <w:rPr>
                <w:b/>
                <w:szCs w:val="21"/>
              </w:rPr>
              <w:t>1</w:t>
            </w:r>
            <w:r>
              <w:rPr>
                <w:rFonts w:hint="eastAsia"/>
                <w:b/>
                <w:szCs w:val="21"/>
              </w:rPr>
              <w:t>、</w:t>
            </w:r>
            <w:r>
              <w:rPr>
                <w:b/>
                <w:szCs w:val="21"/>
              </w:rPr>
              <w:t>环境管理要求</w:t>
            </w:r>
          </w:p>
          <w:p>
            <w:pPr>
              <w:adjustRightInd w:val="0"/>
              <w:snapToGrid w:val="0"/>
              <w:ind w:firstLine="420" w:firstLineChars="200"/>
              <w:rPr>
                <w:szCs w:val="21"/>
              </w:rPr>
            </w:pPr>
            <w:r>
              <w:rPr>
                <w:szCs w:val="21"/>
              </w:rPr>
              <w:t>（1）环境管理的执行标准</w:t>
            </w:r>
          </w:p>
          <w:p>
            <w:pPr>
              <w:adjustRightInd w:val="0"/>
              <w:snapToGrid w:val="0"/>
              <w:ind w:firstLine="420" w:firstLineChars="200"/>
              <w:rPr>
                <w:szCs w:val="21"/>
              </w:rPr>
            </w:pPr>
            <w:r>
              <w:rPr>
                <w:szCs w:val="21"/>
              </w:rPr>
              <w:t>应执行环评报告和当地环保部门确定的各项标准。</w:t>
            </w:r>
          </w:p>
          <w:p>
            <w:pPr>
              <w:adjustRightInd w:val="0"/>
              <w:snapToGrid w:val="0"/>
              <w:ind w:firstLine="420" w:firstLineChars="200"/>
              <w:rPr>
                <w:szCs w:val="21"/>
              </w:rPr>
            </w:pPr>
            <w:r>
              <w:rPr>
                <w:szCs w:val="21"/>
              </w:rPr>
              <w:t>（2）环境管理方法</w:t>
            </w:r>
          </w:p>
          <w:p>
            <w:pPr>
              <w:adjustRightInd w:val="0"/>
              <w:snapToGrid w:val="0"/>
              <w:ind w:firstLine="420" w:firstLineChars="200"/>
              <w:rPr>
                <w:szCs w:val="21"/>
              </w:rPr>
            </w:pPr>
            <w:r>
              <w:rPr>
                <w:rFonts w:hint="eastAsia"/>
                <w:szCs w:val="21"/>
              </w:rPr>
              <w:t>①</w:t>
            </w:r>
            <w:r>
              <w:rPr>
                <w:szCs w:val="21"/>
              </w:rPr>
              <w:t>落实项目固体废物、危险废物的管理措施。</w:t>
            </w:r>
          </w:p>
          <w:p>
            <w:pPr>
              <w:adjustRightInd w:val="0"/>
              <w:snapToGrid w:val="0"/>
              <w:ind w:firstLine="420" w:firstLineChars="200"/>
              <w:rPr>
                <w:szCs w:val="21"/>
              </w:rPr>
            </w:pPr>
            <w:r>
              <w:rPr>
                <w:rFonts w:hint="eastAsia"/>
                <w:szCs w:val="21"/>
              </w:rPr>
              <w:t>②</w:t>
            </w:r>
            <w:r>
              <w:rPr>
                <w:szCs w:val="21"/>
              </w:rPr>
              <w:t>按规定规范化排污口设置。</w:t>
            </w:r>
          </w:p>
          <w:p>
            <w:pPr>
              <w:adjustRightInd w:val="0"/>
              <w:snapToGrid w:val="0"/>
              <w:ind w:firstLine="420" w:firstLineChars="200"/>
              <w:rPr>
                <w:szCs w:val="21"/>
              </w:rPr>
            </w:pPr>
            <w:r>
              <w:rPr>
                <w:rFonts w:hint="eastAsia"/>
                <w:szCs w:val="21"/>
              </w:rPr>
              <w:t>③</w:t>
            </w:r>
            <w:r>
              <w:rPr>
                <w:szCs w:val="21"/>
              </w:rPr>
              <w:t>建立台账管理制度。</w:t>
            </w:r>
          </w:p>
          <w:p>
            <w:pPr>
              <w:adjustRightInd w:val="0"/>
              <w:snapToGrid w:val="0"/>
              <w:ind w:firstLine="420" w:firstLineChars="200"/>
              <w:rPr>
                <w:szCs w:val="21"/>
              </w:rPr>
            </w:pPr>
            <w:r>
              <w:rPr>
                <w:rFonts w:hint="eastAsia"/>
                <w:szCs w:val="21"/>
              </w:rPr>
              <w:t>④</w:t>
            </w:r>
            <w:r>
              <w:rPr>
                <w:szCs w:val="21"/>
              </w:rPr>
              <w:t>通过环境教育，提高全体职工的环保意识和技术水平，自觉控制人为污染。</w:t>
            </w:r>
          </w:p>
          <w:p>
            <w:pPr>
              <w:adjustRightInd w:val="0"/>
              <w:snapToGrid w:val="0"/>
              <w:ind w:firstLine="420" w:firstLineChars="200"/>
              <w:rPr>
                <w:szCs w:val="21"/>
              </w:rPr>
            </w:pPr>
            <w:r>
              <w:rPr>
                <w:rFonts w:hint="eastAsia"/>
                <w:szCs w:val="21"/>
              </w:rPr>
              <w:t>⑤项目完成后及时按规定进行自主验收。</w:t>
            </w:r>
          </w:p>
          <w:p>
            <w:pPr>
              <w:adjustRightInd w:val="0"/>
              <w:snapToGrid w:val="0"/>
              <w:ind w:firstLine="422" w:firstLineChars="200"/>
              <w:rPr>
                <w:b/>
                <w:szCs w:val="21"/>
              </w:rPr>
            </w:pPr>
            <w:r>
              <w:rPr>
                <w:rFonts w:hint="eastAsia"/>
                <w:b/>
                <w:szCs w:val="21"/>
              </w:rPr>
              <w:t>2、</w:t>
            </w:r>
            <w:r>
              <w:rPr>
                <w:b/>
                <w:szCs w:val="21"/>
              </w:rPr>
              <w:t>规范排污口</w:t>
            </w:r>
          </w:p>
          <w:p>
            <w:pPr>
              <w:pStyle w:val="37"/>
              <w:spacing w:line="240" w:lineRule="auto"/>
              <w:ind w:firstLine="420"/>
              <w:rPr>
                <w:rFonts w:cs="Times New Roman"/>
                <w:kern w:val="2"/>
                <w:sz w:val="21"/>
                <w:szCs w:val="21"/>
              </w:rPr>
            </w:pPr>
            <w:r>
              <w:rPr>
                <w:rFonts w:cs="Times New Roman"/>
                <w:kern w:val="2"/>
                <w:sz w:val="21"/>
                <w:szCs w:val="21"/>
              </w:rPr>
              <w:t>本项目应根据《环境保护图形标志排放口（源）》（GB15562.1-1995）及《环境保护图形标志固体废物贮存（处置）场》（GB15562.2-1995）中有关规定，在“三废”及噪声排放点设置标志牌。标志牌应设在与之功能相应的醒目处。标志牌必须保持清晰、完整，当发现有形象损坏、颜色污染、退色等情况时，应及时修复或更换。检查时间至少每年一次。同时厂内主要废气排放点应根据环保要求留有采样口，并设置明显标志，以便环保部门定期检查、监督和验收。</w:t>
            </w:r>
          </w:p>
          <w:p>
            <w:pPr>
              <w:pStyle w:val="37"/>
              <w:spacing w:line="240" w:lineRule="auto"/>
              <w:ind w:firstLine="420"/>
              <w:rPr>
                <w:rFonts w:cs="Times New Roman"/>
                <w:kern w:val="2"/>
                <w:sz w:val="21"/>
                <w:szCs w:val="21"/>
              </w:rPr>
            </w:pPr>
            <w:r>
              <w:rPr>
                <w:rFonts w:cs="Times New Roman"/>
                <w:kern w:val="2"/>
                <w:sz w:val="21"/>
                <w:szCs w:val="21"/>
              </w:rPr>
              <w:t>排放口图形标志见表</w:t>
            </w:r>
            <w:r>
              <w:rPr>
                <w:rFonts w:hint="eastAsia" w:cs="Times New Roman"/>
                <w:kern w:val="2"/>
                <w:sz w:val="21"/>
                <w:szCs w:val="21"/>
              </w:rPr>
              <w:t>39</w:t>
            </w:r>
            <w:r>
              <w:rPr>
                <w:rFonts w:cs="Times New Roman"/>
                <w:kern w:val="2"/>
                <w:sz w:val="21"/>
                <w:szCs w:val="21"/>
              </w:rPr>
              <w:t>。</w:t>
            </w:r>
          </w:p>
          <w:p>
            <w:pPr>
              <w:pStyle w:val="41"/>
              <w:spacing w:line="360" w:lineRule="auto"/>
              <w:rPr>
                <w:rFonts w:cs="Times New Roman"/>
                <w:szCs w:val="21"/>
              </w:rPr>
            </w:pPr>
            <w:r>
              <w:rPr>
                <w:rFonts w:cs="Times New Roman"/>
                <w:szCs w:val="21"/>
              </w:rPr>
              <w:t>表</w:t>
            </w:r>
            <w:r>
              <w:rPr>
                <w:rFonts w:hint="eastAsia" w:cs="Times New Roman"/>
                <w:szCs w:val="21"/>
              </w:rPr>
              <w:t xml:space="preserve">39  </w:t>
            </w:r>
            <w:r>
              <w:rPr>
                <w:rFonts w:cs="Times New Roman"/>
                <w:szCs w:val="21"/>
              </w:rPr>
              <w:t>排放口图形标志</w:t>
            </w:r>
          </w:p>
          <w:tbl>
            <w:tblPr>
              <w:tblStyle w:val="1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572"/>
              <w:gridCol w:w="1572"/>
              <w:gridCol w:w="1572"/>
              <w:gridCol w:w="15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9" w:type="pct"/>
                  <w:vAlign w:val="center"/>
                </w:tcPr>
                <w:p>
                  <w:pPr>
                    <w:pStyle w:val="40"/>
                    <w:spacing w:line="240" w:lineRule="auto"/>
                    <w:rPr>
                      <w:szCs w:val="21"/>
                    </w:rPr>
                  </w:pPr>
                  <w:r>
                    <w:rPr>
                      <w:szCs w:val="21"/>
                    </w:rPr>
                    <w:t>排放口</w:t>
                  </w:r>
                </w:p>
              </w:tc>
              <w:tc>
                <w:tcPr>
                  <w:tcW w:w="1120" w:type="pct"/>
                  <w:vAlign w:val="center"/>
                </w:tcPr>
                <w:p>
                  <w:pPr>
                    <w:pStyle w:val="40"/>
                    <w:spacing w:line="240" w:lineRule="auto"/>
                    <w:rPr>
                      <w:szCs w:val="21"/>
                    </w:rPr>
                  </w:pPr>
                  <w:r>
                    <w:rPr>
                      <w:szCs w:val="21"/>
                    </w:rPr>
                    <w:t>废气排口</w:t>
                  </w:r>
                </w:p>
              </w:tc>
              <w:tc>
                <w:tcPr>
                  <w:tcW w:w="1120" w:type="pct"/>
                  <w:vAlign w:val="center"/>
                </w:tcPr>
                <w:p>
                  <w:pPr>
                    <w:pStyle w:val="40"/>
                    <w:spacing w:line="240" w:lineRule="auto"/>
                    <w:rPr>
                      <w:szCs w:val="21"/>
                    </w:rPr>
                  </w:pPr>
                  <w:r>
                    <w:rPr>
                      <w:szCs w:val="21"/>
                    </w:rPr>
                    <w:t>噪声源</w:t>
                  </w:r>
                </w:p>
              </w:tc>
              <w:tc>
                <w:tcPr>
                  <w:tcW w:w="1120" w:type="pct"/>
                  <w:vAlign w:val="center"/>
                </w:tcPr>
                <w:p>
                  <w:pPr>
                    <w:pStyle w:val="40"/>
                    <w:spacing w:line="240" w:lineRule="auto"/>
                    <w:rPr>
                      <w:szCs w:val="21"/>
                    </w:rPr>
                  </w:pPr>
                  <w:r>
                    <w:rPr>
                      <w:szCs w:val="21"/>
                    </w:rPr>
                    <w:t>固废堆场</w:t>
                  </w:r>
                </w:p>
              </w:tc>
              <w:tc>
                <w:tcPr>
                  <w:tcW w:w="1120" w:type="pct"/>
                  <w:vAlign w:val="center"/>
                </w:tcPr>
                <w:p>
                  <w:pPr>
                    <w:pStyle w:val="40"/>
                    <w:spacing w:line="240" w:lineRule="auto"/>
                    <w:rPr>
                      <w:szCs w:val="21"/>
                    </w:rPr>
                  </w:pPr>
                  <w:r>
                    <w:rPr>
                      <w:szCs w:val="21"/>
                    </w:rPr>
                    <w:t>危险废物堆场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9" w:type="pct"/>
                  <w:vAlign w:val="center"/>
                </w:tcPr>
                <w:p>
                  <w:pPr>
                    <w:pStyle w:val="40"/>
                    <w:spacing w:line="240" w:lineRule="auto"/>
                    <w:rPr>
                      <w:szCs w:val="21"/>
                    </w:rPr>
                  </w:pPr>
                  <w:r>
                    <w:rPr>
                      <w:szCs w:val="21"/>
                    </w:rPr>
                    <w:t>图形符号</w:t>
                  </w:r>
                </w:p>
              </w:tc>
              <w:tc>
                <w:tcPr>
                  <w:tcW w:w="1120" w:type="pct"/>
                  <w:vAlign w:val="center"/>
                </w:tcPr>
                <w:p>
                  <w:pPr>
                    <w:pStyle w:val="40"/>
                    <w:spacing w:line="240" w:lineRule="auto"/>
                    <w:rPr>
                      <w:szCs w:val="21"/>
                    </w:rPr>
                  </w:pPr>
                  <w:r>
                    <w:rPr>
                      <w:szCs w:val="21"/>
                    </w:rPr>
                    <w:drawing>
                      <wp:inline distT="0" distB="0" distL="0" distR="0">
                        <wp:extent cx="699770" cy="629920"/>
                        <wp:effectExtent l="0" t="0" r="5080" b="0"/>
                        <wp:docPr id="17" name="图片 17"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0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700303" cy="630106"/>
                                </a:xfrm>
                                <a:prstGeom prst="rect">
                                  <a:avLst/>
                                </a:prstGeom>
                                <a:noFill/>
                                <a:ln>
                                  <a:noFill/>
                                </a:ln>
                              </pic:spPr>
                            </pic:pic>
                          </a:graphicData>
                        </a:graphic>
                      </wp:inline>
                    </w:drawing>
                  </w:r>
                </w:p>
              </w:tc>
              <w:tc>
                <w:tcPr>
                  <w:tcW w:w="1120" w:type="pct"/>
                  <w:vAlign w:val="center"/>
                </w:tcPr>
                <w:p>
                  <w:pPr>
                    <w:pStyle w:val="40"/>
                    <w:spacing w:line="240" w:lineRule="auto"/>
                    <w:rPr>
                      <w:szCs w:val="21"/>
                    </w:rPr>
                  </w:pPr>
                  <w:r>
                    <w:rPr>
                      <w:szCs w:val="21"/>
                    </w:rPr>
                    <w:drawing>
                      <wp:inline distT="0" distB="0" distL="0" distR="0">
                        <wp:extent cx="668020" cy="602615"/>
                        <wp:effectExtent l="0" t="0" r="0" b="6985"/>
                        <wp:docPr id="7" name="图片 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669808" cy="603874"/>
                                </a:xfrm>
                                <a:prstGeom prst="rect">
                                  <a:avLst/>
                                </a:prstGeom>
                                <a:noFill/>
                                <a:ln>
                                  <a:noFill/>
                                </a:ln>
                              </pic:spPr>
                            </pic:pic>
                          </a:graphicData>
                        </a:graphic>
                      </wp:inline>
                    </w:drawing>
                  </w:r>
                </w:p>
              </w:tc>
              <w:tc>
                <w:tcPr>
                  <w:tcW w:w="1120" w:type="pct"/>
                  <w:vAlign w:val="center"/>
                </w:tcPr>
                <w:p>
                  <w:pPr>
                    <w:pStyle w:val="40"/>
                    <w:spacing w:line="240" w:lineRule="auto"/>
                    <w:rPr>
                      <w:szCs w:val="21"/>
                    </w:rPr>
                  </w:pPr>
                  <w:r>
                    <w:rPr>
                      <w:szCs w:val="21"/>
                    </w:rPr>
                    <w:drawing>
                      <wp:inline distT="0" distB="0" distL="0" distR="0">
                        <wp:extent cx="711200" cy="641985"/>
                        <wp:effectExtent l="0" t="0" r="0" b="5715"/>
                        <wp:docPr id="6" name="图片 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0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711383" cy="642503"/>
                                </a:xfrm>
                                <a:prstGeom prst="rect">
                                  <a:avLst/>
                                </a:prstGeom>
                                <a:noFill/>
                                <a:ln>
                                  <a:noFill/>
                                </a:ln>
                              </pic:spPr>
                            </pic:pic>
                          </a:graphicData>
                        </a:graphic>
                      </wp:inline>
                    </w:drawing>
                  </w:r>
                </w:p>
              </w:tc>
              <w:tc>
                <w:tcPr>
                  <w:tcW w:w="1120" w:type="pct"/>
                  <w:vAlign w:val="center"/>
                </w:tcPr>
                <w:p>
                  <w:pPr>
                    <w:pStyle w:val="40"/>
                    <w:spacing w:line="240" w:lineRule="auto"/>
                    <w:rPr>
                      <w:szCs w:val="21"/>
                    </w:rPr>
                  </w:pPr>
                  <w:r>
                    <w:rPr>
                      <w:szCs w:val="21"/>
                    </w:rPr>
                    <w:drawing>
                      <wp:inline distT="0" distB="0" distL="0" distR="0">
                        <wp:extent cx="647700" cy="5619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644770" cy="559454"/>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519" w:type="pct"/>
                  <w:vAlign w:val="center"/>
                </w:tcPr>
                <w:p>
                  <w:pPr>
                    <w:pStyle w:val="40"/>
                    <w:spacing w:line="240" w:lineRule="auto"/>
                    <w:rPr>
                      <w:szCs w:val="21"/>
                    </w:rPr>
                  </w:pPr>
                  <w:r>
                    <w:rPr>
                      <w:szCs w:val="21"/>
                    </w:rPr>
                    <w:t>背景颜色</w:t>
                  </w:r>
                </w:p>
              </w:tc>
              <w:tc>
                <w:tcPr>
                  <w:tcW w:w="4481" w:type="pct"/>
                  <w:gridSpan w:val="4"/>
                  <w:vAlign w:val="center"/>
                </w:tcPr>
                <w:p>
                  <w:pPr>
                    <w:pStyle w:val="40"/>
                    <w:spacing w:line="240" w:lineRule="auto"/>
                    <w:rPr>
                      <w:szCs w:val="21"/>
                    </w:rPr>
                  </w:pPr>
                  <w:r>
                    <w:rPr>
                      <w:szCs w:val="21"/>
                    </w:rPr>
                    <w:t>绿色（危险废物为黄色）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9" w:type="pct"/>
                  <w:vAlign w:val="center"/>
                </w:tcPr>
                <w:p>
                  <w:pPr>
                    <w:pStyle w:val="40"/>
                    <w:spacing w:line="240" w:lineRule="auto"/>
                    <w:rPr>
                      <w:szCs w:val="21"/>
                    </w:rPr>
                  </w:pPr>
                  <w:r>
                    <w:rPr>
                      <w:szCs w:val="21"/>
                    </w:rPr>
                    <w:t>图形颜色</w:t>
                  </w:r>
                </w:p>
              </w:tc>
              <w:tc>
                <w:tcPr>
                  <w:tcW w:w="4481" w:type="pct"/>
                  <w:gridSpan w:val="4"/>
                  <w:vAlign w:val="center"/>
                </w:tcPr>
                <w:p>
                  <w:pPr>
                    <w:pStyle w:val="40"/>
                    <w:spacing w:line="240" w:lineRule="auto"/>
                    <w:rPr>
                      <w:szCs w:val="21"/>
                    </w:rPr>
                  </w:pPr>
                  <w:r>
                    <w:rPr>
                      <w:szCs w:val="21"/>
                    </w:rPr>
                    <w:t>白色（危险废物为黑色）</w:t>
                  </w:r>
                </w:p>
              </w:tc>
            </w:tr>
          </w:tbl>
          <w:p>
            <w:pPr>
              <w:adjustRightInd w:val="0"/>
              <w:snapToGrid w:val="0"/>
              <w:rPr>
                <w:szCs w:val="21"/>
              </w:rPr>
            </w:pPr>
          </w:p>
        </w:tc>
      </w:tr>
    </w:tbl>
    <w:p>
      <w:pPr>
        <w:pStyle w:val="10"/>
        <w:jc w:val="center"/>
        <w:outlineLvl w:val="0"/>
        <w:rPr>
          <w:rFonts w:ascii="Times New Roman" w:hAnsi="Times New Roman" w:cs="Times New Roman"/>
          <w:snapToGrid w:val="0"/>
          <w:sz w:val="30"/>
          <w:szCs w:val="30"/>
        </w:rPr>
      </w:pPr>
      <w:r>
        <w:rPr>
          <w:rFonts w:ascii="Times New Roman" w:hAnsi="Times New Roman" w:cs="Times New Roman"/>
          <w:snapToGrid w:val="0"/>
        </w:rPr>
        <w:br w:type="page"/>
      </w:r>
      <w:r>
        <w:rPr>
          <w:rFonts w:ascii="Times New Roman" w:hAnsi="Times New Roman" w:cs="Times New Roman"/>
          <w:snapToGrid w:val="0"/>
          <w:sz w:val="30"/>
          <w:szCs w:val="30"/>
        </w:rPr>
        <w:t>六、结论</w:t>
      </w:r>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17" w:hRule="atLeast"/>
          <w:jc w:val="center"/>
        </w:trPr>
        <w:tc>
          <w:tcPr>
            <w:tcW w:w="8865" w:type="dxa"/>
            <w:vAlign w:val="center"/>
          </w:tcPr>
          <w:p>
            <w:pPr>
              <w:spacing w:line="360" w:lineRule="auto"/>
              <w:ind w:firstLine="482" w:firstLineChars="200"/>
              <w:rPr>
                <w:b/>
                <w:sz w:val="24"/>
              </w:rPr>
            </w:pPr>
            <w:r>
              <w:rPr>
                <w:b/>
                <w:bCs/>
                <w:sz w:val="24"/>
              </w:rPr>
              <w:t>定襄县鑫康机械加工厂年产</w:t>
            </w:r>
            <w:r>
              <w:rPr>
                <w:b/>
                <w:sz w:val="24"/>
              </w:rPr>
              <w:t>3000吨锻件、法兰生产线扩建项目位于山西省忻州市定襄县留晖工业聚集区内，钢材为原料、清洁能源天然气为燃料年产3000吨锻件、法兰，项目已在山西省投资项目在线审批监管平台进行了登记，项目代码2106-140921-89-01-217187，项目符</w:t>
            </w:r>
            <w:r>
              <w:rPr>
                <w:b/>
                <w:bCs/>
                <w:sz w:val="24"/>
              </w:rPr>
              <w:t>合山西省主体功能区划及定襄县生态“两区”规划的发展要求，符合“三线一单”及定襄县法兰锻造行业相关的要求，在严格采取环评规定的环保措施后，本项目大气、噪声可以稳定达标排放，无污水排放，固废得到合理处置，因此从环境保护的角度，本项目的建设是可行的。</w:t>
            </w:r>
          </w:p>
        </w:tc>
      </w:tr>
    </w:tbl>
    <w:p>
      <w:pPr>
        <w:sectPr>
          <w:pgSz w:w="11906" w:h="16838"/>
          <w:pgMar w:top="1701" w:right="1531" w:bottom="1701" w:left="1531" w:header="851" w:footer="1077" w:gutter="0"/>
          <w:cols w:space="720" w:num="1"/>
          <w:docGrid w:linePitch="312" w:charSpace="0"/>
        </w:sectPr>
      </w:pPr>
    </w:p>
    <w:p>
      <w:pPr>
        <w:pStyle w:val="10"/>
        <w:adjustRightInd w:val="0"/>
        <w:snapToGrid w:val="0"/>
        <w:spacing w:before="0" w:beforeAutospacing="0" w:after="0" w:afterAutospacing="0" w:line="648" w:lineRule="auto"/>
        <w:outlineLvl w:val="0"/>
        <w:rPr>
          <w:rFonts w:ascii="Times New Roman" w:hAnsi="Times New Roman" w:cs="Times New Roman"/>
          <w:snapToGrid w:val="0"/>
          <w:sz w:val="32"/>
          <w:szCs w:val="32"/>
        </w:rPr>
      </w:pPr>
      <w:r>
        <w:rPr>
          <w:rFonts w:ascii="Times New Roman" w:hAnsi="Times New Roman" w:cs="Times New Roman"/>
          <w:snapToGrid w:val="0"/>
          <w:sz w:val="32"/>
          <w:szCs w:val="32"/>
        </w:rPr>
        <w:t>附表</w:t>
      </w:r>
    </w:p>
    <w:p>
      <w:pPr>
        <w:pStyle w:val="10"/>
        <w:adjustRightInd w:val="0"/>
        <w:snapToGrid w:val="0"/>
        <w:spacing w:before="0" w:beforeAutospacing="0" w:after="0" w:afterAutospacing="0" w:line="552" w:lineRule="auto"/>
        <w:jc w:val="center"/>
        <w:outlineLvl w:val="0"/>
        <w:rPr>
          <w:rFonts w:ascii="Times New Roman" w:hAnsi="Times New Roman" w:cs="Times New Roman"/>
          <w:snapToGrid w:val="0"/>
          <w:sz w:val="38"/>
          <w:szCs w:val="38"/>
        </w:rPr>
      </w:pPr>
      <w:r>
        <w:rPr>
          <w:rFonts w:ascii="Times New Roman" w:hAnsi="Times New Roman" w:cs="Times New Roman"/>
          <w:snapToGrid w:val="0"/>
          <w:sz w:val="38"/>
          <w:szCs w:val="38"/>
        </w:rPr>
        <w:t>建设项目污染物排放量汇总表</w:t>
      </w:r>
    </w:p>
    <w:tbl>
      <w:tblPr>
        <w:tblStyle w:val="1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701"/>
        <w:gridCol w:w="1701"/>
        <w:gridCol w:w="1276"/>
        <w:gridCol w:w="1701"/>
        <w:gridCol w:w="1559"/>
        <w:gridCol w:w="1761"/>
        <w:gridCol w:w="1641"/>
        <w:gridCol w:w="11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04" w:type="dxa"/>
            <w:tcBorders>
              <w:tl2br w:val="single" w:color="auto" w:sz="4" w:space="0"/>
            </w:tcBorders>
            <w:tcMar>
              <w:left w:w="28" w:type="dxa"/>
              <w:right w:w="28" w:type="dxa"/>
            </w:tcMar>
            <w:vAlign w:val="center"/>
          </w:tcPr>
          <w:p>
            <w:pPr>
              <w:pStyle w:val="19"/>
              <w:spacing w:beforeLines="0" w:afterLines="0" w:line="240" w:lineRule="auto"/>
              <w:jc w:val="right"/>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项目</w:t>
            </w:r>
          </w:p>
          <w:p>
            <w:pPr>
              <w:pStyle w:val="19"/>
              <w:spacing w:beforeLines="0" w:afterLines="0" w:line="240" w:lineRule="auto"/>
              <w:jc w:val="left"/>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分类</w:t>
            </w:r>
          </w:p>
        </w:tc>
        <w:tc>
          <w:tcPr>
            <w:tcW w:w="1701" w:type="dxa"/>
            <w:tcMar>
              <w:left w:w="28" w:type="dxa"/>
              <w:right w:w="28" w:type="dxa"/>
            </w:tcMar>
            <w:vAlign w:val="center"/>
          </w:tcPr>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污染物名称</w:t>
            </w:r>
          </w:p>
        </w:tc>
        <w:tc>
          <w:tcPr>
            <w:tcW w:w="1701" w:type="dxa"/>
            <w:tcMar>
              <w:left w:w="28" w:type="dxa"/>
              <w:right w:w="28" w:type="dxa"/>
            </w:tcMar>
            <w:vAlign w:val="center"/>
          </w:tcPr>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现有工程</w:t>
            </w:r>
          </w:p>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排放量（固体废物产生量）</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1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①</w:t>
            </w:r>
            <w:r>
              <w:rPr>
                <w:rFonts w:ascii="Times New Roman" w:hAnsi="Times New Roman" w:eastAsia="宋体" w:cs="Times New Roman"/>
                <w:snapToGrid w:val="0"/>
                <w:color w:val="000000"/>
                <w:spacing w:val="-6"/>
                <w:kern w:val="21"/>
                <w:szCs w:val="21"/>
              </w:rPr>
              <w:fldChar w:fldCharType="end"/>
            </w:r>
          </w:p>
        </w:tc>
        <w:tc>
          <w:tcPr>
            <w:tcW w:w="1276" w:type="dxa"/>
            <w:tcMar>
              <w:left w:w="28" w:type="dxa"/>
              <w:right w:w="28" w:type="dxa"/>
            </w:tcMar>
            <w:vAlign w:val="center"/>
          </w:tcPr>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现有工程</w:t>
            </w:r>
          </w:p>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许可排放量</w:t>
            </w:r>
          </w:p>
          <w:p>
            <w:pPr>
              <w:pStyle w:val="19"/>
              <w:spacing w:beforeLines="0" w:afterLines="0"/>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2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napToGrid w:val="0"/>
                <w:color w:val="000000"/>
                <w:spacing w:val="-6"/>
                <w:kern w:val="21"/>
                <w:szCs w:val="21"/>
              </w:rPr>
              <w:t>②</w:t>
            </w:r>
            <w:r>
              <w:rPr>
                <w:rFonts w:ascii="Times New Roman" w:hAnsi="Times New Roman" w:eastAsia="宋体" w:cs="Times New Roman"/>
                <w:snapToGrid w:val="0"/>
                <w:color w:val="000000"/>
                <w:spacing w:val="-6"/>
                <w:kern w:val="21"/>
                <w:szCs w:val="21"/>
              </w:rPr>
              <w:fldChar w:fldCharType="end"/>
            </w:r>
          </w:p>
        </w:tc>
        <w:tc>
          <w:tcPr>
            <w:tcW w:w="1701" w:type="dxa"/>
            <w:tcMar>
              <w:left w:w="28" w:type="dxa"/>
              <w:right w:w="28" w:type="dxa"/>
            </w:tcMar>
            <w:vAlign w:val="center"/>
          </w:tcPr>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在建工程</w:t>
            </w:r>
          </w:p>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排放量（固体废物产生量）</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3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③</w:t>
            </w:r>
            <w:r>
              <w:rPr>
                <w:rFonts w:ascii="Times New Roman" w:hAnsi="Times New Roman" w:eastAsia="宋体" w:cs="Times New Roman"/>
                <w:snapToGrid w:val="0"/>
                <w:color w:val="000000"/>
                <w:spacing w:val="-6"/>
                <w:kern w:val="21"/>
                <w:szCs w:val="21"/>
              </w:rPr>
              <w:fldChar w:fldCharType="end"/>
            </w:r>
          </w:p>
        </w:tc>
        <w:tc>
          <w:tcPr>
            <w:tcW w:w="1559" w:type="dxa"/>
            <w:tcMar>
              <w:left w:w="28" w:type="dxa"/>
              <w:right w:w="28" w:type="dxa"/>
            </w:tcMar>
            <w:vAlign w:val="center"/>
          </w:tcPr>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本项目</w:t>
            </w:r>
          </w:p>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排放量（固体废物产生量）</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4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④</w:t>
            </w:r>
            <w:r>
              <w:rPr>
                <w:rFonts w:ascii="Times New Roman" w:hAnsi="Times New Roman" w:eastAsia="宋体" w:cs="Times New Roman"/>
                <w:snapToGrid w:val="0"/>
                <w:color w:val="000000"/>
                <w:spacing w:val="-6"/>
                <w:kern w:val="21"/>
                <w:szCs w:val="21"/>
              </w:rPr>
              <w:fldChar w:fldCharType="end"/>
            </w:r>
          </w:p>
        </w:tc>
        <w:tc>
          <w:tcPr>
            <w:tcW w:w="1761" w:type="dxa"/>
            <w:tcMar>
              <w:left w:w="28" w:type="dxa"/>
              <w:right w:w="28" w:type="dxa"/>
            </w:tcMar>
            <w:vAlign w:val="center"/>
          </w:tcPr>
          <w:p>
            <w:pPr>
              <w:pStyle w:val="19"/>
              <w:spacing w:beforeLines="0" w:afterLines="0" w:line="240" w:lineRule="auto"/>
              <w:rPr>
                <w:rFonts w:ascii="Times New Roman" w:hAnsi="Times New Roman" w:eastAsia="宋体" w:cs="Times New Roman"/>
                <w:snapToGrid w:val="0"/>
                <w:color w:val="000000"/>
                <w:spacing w:val="-16"/>
                <w:kern w:val="21"/>
                <w:szCs w:val="21"/>
              </w:rPr>
            </w:pPr>
            <w:r>
              <w:rPr>
                <w:rFonts w:ascii="Times New Roman" w:hAnsi="Times New Roman" w:eastAsia="宋体" w:cs="Times New Roman"/>
                <w:snapToGrid w:val="0"/>
                <w:color w:val="000000"/>
                <w:spacing w:val="-16"/>
                <w:kern w:val="21"/>
                <w:szCs w:val="21"/>
              </w:rPr>
              <w:t>以新带老削减量</w:t>
            </w:r>
          </w:p>
          <w:p>
            <w:pPr>
              <w:pStyle w:val="19"/>
              <w:spacing w:beforeLines="0" w:afterLines="0" w:line="240" w:lineRule="auto"/>
              <w:rPr>
                <w:rFonts w:ascii="Times New Roman" w:hAnsi="Times New Roman" w:eastAsia="宋体" w:cs="Times New Roman"/>
                <w:snapToGrid w:val="0"/>
                <w:color w:val="000000"/>
                <w:spacing w:val="-16"/>
                <w:kern w:val="21"/>
                <w:szCs w:val="21"/>
              </w:rPr>
            </w:pPr>
            <w:r>
              <w:rPr>
                <w:rFonts w:ascii="Times New Roman" w:hAnsi="Times New Roman" w:eastAsia="宋体" w:cs="Times New Roman"/>
                <w:snapToGrid w:val="0"/>
                <w:color w:val="000000"/>
                <w:spacing w:val="-16"/>
                <w:kern w:val="21"/>
                <w:szCs w:val="21"/>
              </w:rPr>
              <w:t>（新建项目不填）</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5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szCs w:val="21"/>
              </w:rPr>
              <w:t>⑤</w:t>
            </w:r>
            <w:r>
              <w:rPr>
                <w:rFonts w:ascii="Times New Roman" w:hAnsi="Times New Roman" w:eastAsia="宋体" w:cs="Times New Roman"/>
                <w:snapToGrid w:val="0"/>
                <w:color w:val="000000"/>
                <w:spacing w:val="-16"/>
                <w:kern w:val="21"/>
                <w:szCs w:val="21"/>
              </w:rPr>
              <w:fldChar w:fldCharType="end"/>
            </w:r>
          </w:p>
        </w:tc>
        <w:tc>
          <w:tcPr>
            <w:tcW w:w="1641" w:type="dxa"/>
            <w:tcMar>
              <w:left w:w="28" w:type="dxa"/>
              <w:right w:w="28" w:type="dxa"/>
            </w:tcMar>
            <w:vAlign w:val="center"/>
          </w:tcPr>
          <w:p>
            <w:pPr>
              <w:pStyle w:val="19"/>
              <w:spacing w:beforeLines="0" w:afterLines="0" w:line="240" w:lineRule="auto"/>
              <w:rPr>
                <w:rFonts w:ascii="Times New Roman" w:hAnsi="Times New Roman" w:eastAsia="宋体" w:cs="Times New Roman"/>
                <w:snapToGrid w:val="0"/>
                <w:color w:val="000000"/>
                <w:spacing w:val="-16"/>
                <w:kern w:val="21"/>
                <w:szCs w:val="21"/>
              </w:rPr>
            </w:pPr>
            <w:r>
              <w:rPr>
                <w:rFonts w:ascii="Times New Roman" w:hAnsi="Times New Roman" w:eastAsia="宋体" w:cs="Times New Roman"/>
                <w:snapToGrid w:val="0"/>
                <w:color w:val="000000"/>
                <w:spacing w:val="-16"/>
                <w:kern w:val="21"/>
                <w:szCs w:val="21"/>
              </w:rPr>
              <w:t>本项目建成后</w:t>
            </w:r>
          </w:p>
          <w:p>
            <w:pPr>
              <w:pStyle w:val="19"/>
              <w:spacing w:beforeLines="0" w:afterLines="0" w:line="240" w:lineRule="auto"/>
              <w:rPr>
                <w:rFonts w:ascii="Times New Roman" w:hAnsi="Times New Roman" w:eastAsia="宋体" w:cs="Times New Roman"/>
                <w:snapToGrid w:val="0"/>
                <w:color w:val="000000"/>
                <w:spacing w:val="-16"/>
                <w:kern w:val="21"/>
                <w:szCs w:val="21"/>
              </w:rPr>
            </w:pPr>
            <w:r>
              <w:rPr>
                <w:rFonts w:ascii="Times New Roman" w:hAnsi="Times New Roman" w:eastAsia="宋体" w:cs="Times New Roman"/>
                <w:snapToGrid w:val="0"/>
                <w:color w:val="000000"/>
                <w:spacing w:val="-16"/>
                <w:kern w:val="21"/>
                <w:szCs w:val="21"/>
              </w:rPr>
              <w:t>全厂排放量（固体废物产生量）</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6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szCs w:val="21"/>
              </w:rPr>
              <w:t>⑥</w:t>
            </w:r>
            <w:r>
              <w:rPr>
                <w:rFonts w:ascii="Times New Roman" w:hAnsi="Times New Roman" w:eastAsia="宋体" w:cs="Times New Roman"/>
                <w:snapToGrid w:val="0"/>
                <w:color w:val="000000"/>
                <w:spacing w:val="-16"/>
                <w:kern w:val="21"/>
                <w:szCs w:val="21"/>
              </w:rPr>
              <w:fldChar w:fldCharType="end"/>
            </w:r>
          </w:p>
        </w:tc>
        <w:tc>
          <w:tcPr>
            <w:tcW w:w="1144" w:type="dxa"/>
            <w:tcMar>
              <w:left w:w="28" w:type="dxa"/>
              <w:right w:w="28" w:type="dxa"/>
            </w:tcMar>
            <w:vAlign w:val="center"/>
          </w:tcPr>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变化量</w:t>
            </w:r>
          </w:p>
          <w:p>
            <w:pPr>
              <w:pStyle w:val="19"/>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7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⑦</w:t>
            </w:r>
            <w:r>
              <w:rPr>
                <w:rFonts w:ascii="Times New Roman" w:hAnsi="Times New Roman" w:eastAsia="宋体" w:cs="Times New Roman"/>
                <w:snapToGrid w:val="0"/>
                <w:color w:val="00000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restart"/>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废气</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烟尘</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1.225t/a</w:t>
            </w: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1.225 t/a</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0.078</w:t>
            </w:r>
            <w:r>
              <w:rPr>
                <w:rFonts w:ascii="Times New Roman" w:hAnsi="Times New Roman" w:eastAsia="宋体" w:cs="Times New Roman"/>
                <w:snapToGrid w:val="0"/>
                <w:color w:val="000000"/>
                <w:kern w:val="21"/>
                <w:szCs w:val="21"/>
              </w:rPr>
              <w:t>t/a</w:t>
            </w: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1.225</w:t>
            </w:r>
            <w:r>
              <w:rPr>
                <w:rFonts w:ascii="Times New Roman" w:hAnsi="Times New Roman" w:eastAsia="宋体" w:cs="Times New Roman"/>
                <w:snapToGrid w:val="0"/>
                <w:color w:val="000000"/>
                <w:kern w:val="21"/>
                <w:szCs w:val="21"/>
              </w:rPr>
              <w:t>t/a</w:t>
            </w: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0.078</w:t>
            </w:r>
            <w:r>
              <w:rPr>
                <w:rFonts w:ascii="Times New Roman" w:hAnsi="Times New Roman" w:eastAsia="宋体" w:cs="Times New Roman"/>
                <w:snapToGrid w:val="0"/>
                <w:color w:val="000000"/>
                <w:kern w:val="21"/>
                <w:szCs w:val="21"/>
              </w:rPr>
              <w:t>t/a</w:t>
            </w:r>
          </w:p>
        </w:tc>
        <w:tc>
          <w:tcPr>
            <w:tcW w:w="114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-1.147</w:t>
            </w:r>
            <w:r>
              <w:rPr>
                <w:rFonts w:ascii="Times New Roman" w:hAnsi="Times New Roman" w:eastAsia="宋体" w:cs="Times New Roman"/>
                <w:snapToGrid w:val="0"/>
                <w:color w:val="000000"/>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vertAlign w:val="subscript"/>
              </w:rPr>
            </w:pPr>
            <w:r>
              <w:rPr>
                <w:rFonts w:ascii="Times New Roman" w:hAnsi="Times New Roman" w:eastAsia="宋体" w:cs="Times New Roman"/>
                <w:snapToGrid w:val="0"/>
                <w:color w:val="000000"/>
                <w:kern w:val="21"/>
                <w:szCs w:val="21"/>
              </w:rPr>
              <w:t>SO</w:t>
            </w:r>
            <w:r>
              <w:rPr>
                <w:rFonts w:ascii="Times New Roman" w:hAnsi="Times New Roman" w:eastAsia="宋体" w:cs="Times New Roman"/>
                <w:snapToGrid w:val="0"/>
                <w:color w:val="000000"/>
                <w:kern w:val="21"/>
                <w:szCs w:val="21"/>
                <w:vertAlign w:val="subscript"/>
              </w:rPr>
              <w:t>2</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5t/a</w:t>
            </w: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5 t/a</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0.012</w:t>
            </w:r>
            <w:r>
              <w:rPr>
                <w:rFonts w:ascii="Times New Roman" w:hAnsi="Times New Roman" w:eastAsia="宋体" w:cs="Times New Roman"/>
                <w:snapToGrid w:val="0"/>
                <w:color w:val="000000"/>
                <w:kern w:val="21"/>
                <w:szCs w:val="21"/>
              </w:rPr>
              <w:t>t/a</w:t>
            </w: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5</w:t>
            </w:r>
            <w:r>
              <w:rPr>
                <w:rFonts w:ascii="Times New Roman" w:hAnsi="Times New Roman" w:eastAsia="宋体" w:cs="Times New Roman"/>
                <w:snapToGrid w:val="0"/>
                <w:color w:val="000000"/>
                <w:kern w:val="21"/>
                <w:szCs w:val="21"/>
              </w:rPr>
              <w:t>t/a</w:t>
            </w: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0.012</w:t>
            </w:r>
            <w:r>
              <w:rPr>
                <w:rFonts w:ascii="Times New Roman" w:hAnsi="Times New Roman" w:eastAsia="宋体" w:cs="Times New Roman"/>
                <w:snapToGrid w:val="0"/>
                <w:color w:val="000000"/>
                <w:kern w:val="21"/>
                <w:szCs w:val="21"/>
              </w:rPr>
              <w:t>t/a</w:t>
            </w:r>
          </w:p>
        </w:tc>
        <w:tc>
          <w:tcPr>
            <w:tcW w:w="1144" w:type="dxa"/>
            <w:vAlign w:val="center"/>
          </w:tcPr>
          <w:p>
            <w:pPr>
              <w:pStyle w:val="19"/>
              <w:spacing w:beforeLines="0" w:afterLines="0" w:line="240" w:lineRule="auto"/>
              <w:rPr>
                <w:rFonts w:ascii="Times New Roman" w:hAnsi="Times New Roman" w:eastAsia="宋体" w:cs="Times New Roman"/>
                <w:snapToGrid w:val="0"/>
                <w:color w:val="000000"/>
                <w:spacing w:val="-10"/>
                <w:kern w:val="21"/>
                <w:szCs w:val="21"/>
              </w:rPr>
            </w:pPr>
            <w:r>
              <w:rPr>
                <w:rFonts w:hint="eastAsia" w:ascii="Times New Roman" w:hAnsi="Times New Roman" w:eastAsia="宋体" w:cs="Times New Roman"/>
                <w:snapToGrid w:val="0"/>
                <w:color w:val="000000"/>
                <w:spacing w:val="-10"/>
                <w:kern w:val="21"/>
                <w:szCs w:val="21"/>
              </w:rPr>
              <w:t>-4.988</w:t>
            </w:r>
            <w:r>
              <w:rPr>
                <w:rFonts w:ascii="Times New Roman" w:hAnsi="Times New Roman" w:eastAsia="宋体" w:cs="Times New Roman"/>
                <w:snapToGrid w:val="0"/>
                <w:color w:val="000000"/>
                <w:spacing w:val="-10"/>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vertAlign w:val="subscript"/>
              </w:rPr>
            </w:pPr>
            <w:r>
              <w:rPr>
                <w:rFonts w:ascii="Times New Roman" w:hAnsi="Times New Roman" w:eastAsia="宋体" w:cs="Times New Roman"/>
                <w:snapToGrid w:val="0"/>
                <w:color w:val="000000"/>
                <w:kern w:val="21"/>
                <w:szCs w:val="21"/>
              </w:rPr>
              <w:t>NO</w:t>
            </w:r>
            <w:r>
              <w:rPr>
                <w:rFonts w:ascii="Times New Roman" w:hAnsi="Times New Roman" w:eastAsia="宋体" w:cs="Times New Roman"/>
                <w:snapToGrid w:val="0"/>
                <w:color w:val="000000"/>
                <w:kern w:val="21"/>
                <w:szCs w:val="21"/>
                <w:vertAlign w:val="subscript"/>
              </w:rPr>
              <w:t>X</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2.352 t/a</w:t>
            </w: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0.624</w:t>
            </w:r>
            <w:r>
              <w:rPr>
                <w:rFonts w:ascii="Times New Roman" w:hAnsi="Times New Roman" w:eastAsia="宋体" w:cs="Times New Roman"/>
                <w:snapToGrid w:val="0"/>
                <w:color w:val="000000"/>
                <w:kern w:val="21"/>
                <w:szCs w:val="21"/>
              </w:rPr>
              <w:t>t/a</w:t>
            </w: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2.352</w:t>
            </w:r>
            <w:r>
              <w:rPr>
                <w:rFonts w:ascii="Times New Roman" w:hAnsi="Times New Roman" w:eastAsia="宋体" w:cs="Times New Roman"/>
                <w:snapToGrid w:val="0"/>
                <w:color w:val="000000"/>
                <w:kern w:val="21"/>
                <w:szCs w:val="21"/>
              </w:rPr>
              <w:t>t/a</w:t>
            </w: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0.624</w:t>
            </w:r>
            <w:r>
              <w:rPr>
                <w:rFonts w:ascii="Times New Roman" w:hAnsi="Times New Roman" w:eastAsia="宋体" w:cs="Times New Roman"/>
                <w:snapToGrid w:val="0"/>
                <w:color w:val="000000"/>
                <w:kern w:val="21"/>
                <w:szCs w:val="21"/>
              </w:rPr>
              <w:t>t/a</w:t>
            </w:r>
          </w:p>
        </w:tc>
        <w:tc>
          <w:tcPr>
            <w:tcW w:w="114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-1.728</w:t>
            </w:r>
            <w:r>
              <w:rPr>
                <w:rFonts w:ascii="Times New Roman" w:hAnsi="Times New Roman" w:eastAsia="宋体" w:cs="Times New Roman"/>
                <w:snapToGrid w:val="0"/>
                <w:color w:val="000000"/>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废水</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14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restart"/>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一般工业</w:t>
            </w:r>
          </w:p>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固体废物</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废塑料、废木板</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0.5t/a</w:t>
            </w: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3.0t/a</w:t>
            </w: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0.5t/a</w:t>
            </w: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3t/a</w:t>
            </w:r>
          </w:p>
        </w:tc>
        <w:tc>
          <w:tcPr>
            <w:tcW w:w="114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2.5t/a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cs="Times New Roman"/>
                <w:bCs/>
              </w:rPr>
              <w:t>废铁屑、边角料</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203.125t/a</w:t>
            </w: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975t/a</w:t>
            </w: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203.125t/a</w:t>
            </w: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975t/a</w:t>
            </w:r>
          </w:p>
        </w:tc>
        <w:tc>
          <w:tcPr>
            <w:tcW w:w="114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771.875t/a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cs="Times New Roman"/>
                <w:bCs/>
              </w:rPr>
              <w:t>氧化铁皮</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46.875t/a</w:t>
            </w: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225t/a</w:t>
            </w: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46.875t/a</w:t>
            </w: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225t/a</w:t>
            </w:r>
          </w:p>
        </w:tc>
        <w:tc>
          <w:tcPr>
            <w:tcW w:w="114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178.125t/a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restart"/>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危险废物</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废机油</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0.05</w:t>
            </w:r>
            <w:r>
              <w:rPr>
                <w:rFonts w:ascii="Times New Roman" w:hAnsi="Times New Roman" w:eastAsia="宋体" w:cs="Times New Roman"/>
                <w:snapToGrid w:val="0"/>
                <w:color w:val="000000"/>
                <w:kern w:val="21"/>
                <w:szCs w:val="21"/>
              </w:rPr>
              <w:t>t/a</w:t>
            </w: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0.3t/a</w:t>
            </w: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0.05</w:t>
            </w:r>
            <w:r>
              <w:rPr>
                <w:rFonts w:ascii="Times New Roman" w:hAnsi="Times New Roman" w:eastAsia="宋体" w:cs="Times New Roman"/>
                <w:snapToGrid w:val="0"/>
                <w:color w:val="000000"/>
                <w:kern w:val="21"/>
                <w:szCs w:val="21"/>
              </w:rPr>
              <w:t>t/a</w:t>
            </w: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0.3t/a</w:t>
            </w:r>
          </w:p>
        </w:tc>
        <w:tc>
          <w:tcPr>
            <w:tcW w:w="114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0.2</w:t>
            </w:r>
            <w:r>
              <w:rPr>
                <w:rFonts w:hint="eastAsia" w:ascii="Times New Roman" w:hAnsi="Times New Roman" w:eastAsia="宋体" w:cs="Times New Roman"/>
                <w:snapToGrid w:val="0"/>
                <w:color w:val="000000"/>
                <w:kern w:val="21"/>
                <w:szCs w:val="21"/>
              </w:rPr>
              <w:t>5</w:t>
            </w:r>
            <w:r>
              <w:rPr>
                <w:rFonts w:ascii="Times New Roman" w:hAnsi="Times New Roman" w:eastAsia="宋体" w:cs="Times New Roman"/>
                <w:snapToGrid w:val="0"/>
                <w:color w:val="000000"/>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废乳化液</w:t>
            </w: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0.01</w:t>
            </w:r>
            <w:r>
              <w:rPr>
                <w:rFonts w:ascii="Times New Roman" w:hAnsi="Times New Roman" w:eastAsia="宋体" w:cs="Times New Roman"/>
                <w:snapToGrid w:val="0"/>
                <w:color w:val="000000"/>
                <w:kern w:val="21"/>
                <w:szCs w:val="21"/>
              </w:rPr>
              <w:t>t/a</w:t>
            </w:r>
          </w:p>
        </w:tc>
        <w:tc>
          <w:tcPr>
            <w:tcW w:w="1276"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p>
        </w:tc>
        <w:tc>
          <w:tcPr>
            <w:tcW w:w="1559"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0.15</w:t>
            </w:r>
            <w:r>
              <w:rPr>
                <w:rFonts w:ascii="Times New Roman" w:hAnsi="Times New Roman" w:eastAsia="宋体" w:cs="Times New Roman"/>
                <w:snapToGrid w:val="0"/>
                <w:color w:val="000000"/>
                <w:kern w:val="21"/>
                <w:szCs w:val="21"/>
              </w:rPr>
              <w:t>t/a</w:t>
            </w:r>
          </w:p>
        </w:tc>
        <w:tc>
          <w:tcPr>
            <w:tcW w:w="176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0.01</w:t>
            </w:r>
            <w:r>
              <w:rPr>
                <w:rFonts w:ascii="Times New Roman" w:hAnsi="Times New Roman" w:eastAsia="宋体" w:cs="Times New Roman"/>
                <w:snapToGrid w:val="0"/>
                <w:color w:val="000000"/>
                <w:kern w:val="21"/>
                <w:szCs w:val="21"/>
              </w:rPr>
              <w:t>t/a</w:t>
            </w:r>
          </w:p>
        </w:tc>
        <w:tc>
          <w:tcPr>
            <w:tcW w:w="1641"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0.15</w:t>
            </w:r>
            <w:r>
              <w:rPr>
                <w:rFonts w:ascii="Times New Roman" w:hAnsi="Times New Roman" w:eastAsia="宋体" w:cs="Times New Roman"/>
                <w:snapToGrid w:val="0"/>
                <w:color w:val="000000"/>
                <w:kern w:val="21"/>
                <w:szCs w:val="21"/>
              </w:rPr>
              <w:t>t/a</w:t>
            </w:r>
          </w:p>
        </w:tc>
        <w:tc>
          <w:tcPr>
            <w:tcW w:w="1144" w:type="dxa"/>
            <w:vAlign w:val="center"/>
          </w:tcPr>
          <w:p>
            <w:pPr>
              <w:pStyle w:val="19"/>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0.14</w:t>
            </w:r>
            <w:r>
              <w:rPr>
                <w:rFonts w:ascii="Times New Roman" w:hAnsi="Times New Roman" w:eastAsia="宋体" w:cs="Times New Roman"/>
                <w:snapToGrid w:val="0"/>
                <w:color w:val="000000"/>
                <w:kern w:val="21"/>
                <w:szCs w:val="21"/>
              </w:rPr>
              <w:t>t/a</w:t>
            </w:r>
          </w:p>
        </w:tc>
      </w:tr>
    </w:tbl>
    <w:p>
      <w:pPr>
        <w:pStyle w:val="19"/>
        <w:spacing w:before="192" w:beforeLines="80" w:after="24"/>
        <w:jc w:val="left"/>
        <w:rPr>
          <w:rFonts w:ascii="Times New Roman" w:hAnsi="Times New Roman" w:eastAsia="宋体" w:cs="Times New Roman"/>
          <w:snapToGrid w:val="0"/>
          <w:color w:val="000000"/>
          <w:spacing w:val="-6"/>
          <w:kern w:val="21"/>
          <w:szCs w:val="21"/>
        </w:rPr>
        <w:sectPr>
          <w:footerReference r:id="rId9" w:type="default"/>
          <w:pgSz w:w="16838" w:h="11906" w:orient="landscape"/>
          <w:pgMar w:top="1531" w:right="1701" w:bottom="1531" w:left="1701" w:header="851" w:footer="851" w:gutter="0"/>
          <w:cols w:space="720" w:num="1"/>
          <w:docGrid w:linePitch="312" w:charSpace="0"/>
        </w:sectPr>
      </w:pPr>
      <w:r>
        <w:rPr>
          <w:rFonts w:ascii="Times New Roman" w:hAnsi="Times New Roman" w:eastAsia="宋体" w:cs="Times New Roman"/>
          <w:snapToGrid w:val="0"/>
          <w:color w:val="000000"/>
          <w:kern w:val="21"/>
          <w:szCs w:val="21"/>
        </w:rPr>
        <w:t>注：</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6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szCs w:val="21"/>
        </w:rPr>
        <w:t>⑥</w:t>
      </w:r>
      <w:r>
        <w:rPr>
          <w:rFonts w:ascii="Times New Roman" w:hAnsi="Times New Roman" w:eastAsia="宋体" w:cs="Times New Roman"/>
          <w:snapToGrid w:val="0"/>
          <w:color w:val="000000"/>
          <w:spacing w:val="-16"/>
          <w:kern w:val="21"/>
          <w:szCs w:val="21"/>
        </w:rPr>
        <w:fldChar w:fldCharType="end"/>
      </w:r>
      <w:r>
        <w:rPr>
          <w:rFonts w:ascii="Times New Roman" w:hAnsi="Times New Roman" w:eastAsia="宋体" w:cs="Times New Roman"/>
          <w:snapToGrid w:val="0"/>
          <w:color w:val="000000"/>
          <w:spacing w:val="-1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1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①</w:t>
      </w:r>
      <w:r>
        <w:rPr>
          <w:rFonts w:ascii="Times New Roman" w:hAnsi="Times New Roman" w:eastAsia="宋体" w:cs="Times New Roman"/>
          <w:snapToGrid w:val="0"/>
          <w:color w:val="000000"/>
          <w:spacing w:val="-6"/>
          <w:kern w:val="21"/>
          <w:szCs w:val="21"/>
        </w:rPr>
        <w:fldChar w:fldCharType="end"/>
      </w:r>
      <w:r>
        <w:rPr>
          <w:rFonts w:ascii="Times New Roman" w:hAnsi="Times New Roman" w:eastAsia="宋体" w:cs="Times New Roman"/>
          <w:snapToGrid w:val="0"/>
          <w:color w:val="000000"/>
          <w:spacing w:val="-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3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③</w:t>
      </w:r>
      <w:r>
        <w:rPr>
          <w:rFonts w:ascii="Times New Roman" w:hAnsi="Times New Roman" w:eastAsia="宋体" w:cs="Times New Roman"/>
          <w:snapToGrid w:val="0"/>
          <w:color w:val="000000"/>
          <w:spacing w:val="-6"/>
          <w:kern w:val="21"/>
          <w:szCs w:val="21"/>
        </w:rPr>
        <w:fldChar w:fldCharType="end"/>
      </w:r>
      <w:r>
        <w:rPr>
          <w:rFonts w:ascii="Times New Roman" w:hAnsi="Times New Roman" w:eastAsia="宋体" w:cs="Times New Roman"/>
          <w:snapToGrid w:val="0"/>
          <w:color w:val="000000"/>
          <w:spacing w:val="-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4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④</w:t>
      </w:r>
      <w:r>
        <w:rPr>
          <w:rFonts w:ascii="Times New Roman" w:hAnsi="Times New Roman" w:eastAsia="宋体" w:cs="Times New Roman"/>
          <w:snapToGrid w:val="0"/>
          <w:color w:val="000000"/>
          <w:spacing w:val="-6"/>
          <w:kern w:val="21"/>
          <w:szCs w:val="21"/>
        </w:rPr>
        <w:fldChar w:fldCharType="end"/>
      </w:r>
      <w:r>
        <w:rPr>
          <w:rFonts w:ascii="Times New Roman" w:hAnsi="Times New Roman" w:eastAsia="宋体" w:cs="Times New Roman"/>
          <w:snapToGrid w:val="0"/>
          <w:color w:val="000000"/>
          <w:spacing w:val="-6"/>
          <w:kern w:val="21"/>
          <w:szCs w:val="21"/>
        </w:rPr>
        <w:t>-</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5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szCs w:val="21"/>
        </w:rPr>
        <w:t>⑤</w:t>
      </w:r>
      <w:r>
        <w:rPr>
          <w:rFonts w:ascii="Times New Roman" w:hAnsi="Times New Roman" w:eastAsia="宋体" w:cs="Times New Roman"/>
          <w:snapToGrid w:val="0"/>
          <w:color w:val="000000"/>
          <w:spacing w:val="-16"/>
          <w:kern w:val="21"/>
          <w:szCs w:val="21"/>
        </w:rPr>
        <w:fldChar w:fldCharType="end"/>
      </w:r>
      <w:r>
        <w:rPr>
          <w:rFonts w:ascii="Times New Roman" w:hAnsi="Times New Roman" w:eastAsia="宋体" w:cs="Times New Roman"/>
          <w:snapToGrid w:val="0"/>
          <w:color w:val="000000"/>
          <w:spacing w:val="-1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7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⑦</w:t>
      </w:r>
      <w:r>
        <w:rPr>
          <w:rFonts w:ascii="Times New Roman" w:hAnsi="Times New Roman" w:eastAsia="宋体" w:cs="Times New Roman"/>
          <w:snapToGrid w:val="0"/>
          <w:color w:val="000000"/>
          <w:spacing w:val="-6"/>
          <w:kern w:val="21"/>
          <w:szCs w:val="21"/>
        </w:rPr>
        <w:fldChar w:fldCharType="end"/>
      </w:r>
      <w:r>
        <w:rPr>
          <w:rFonts w:ascii="Times New Roman" w:hAnsi="Times New Roman" w:eastAsia="宋体" w:cs="Times New Roman"/>
          <w:snapToGrid w:val="0"/>
          <w:color w:val="000000"/>
          <w:spacing w:val="-6"/>
          <w:kern w:val="21"/>
          <w:szCs w:val="21"/>
        </w:rPr>
        <w:t>=</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6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szCs w:val="21"/>
        </w:rPr>
        <w:t>⑥</w:t>
      </w:r>
      <w:r>
        <w:rPr>
          <w:rFonts w:ascii="Times New Roman" w:hAnsi="Times New Roman" w:eastAsia="宋体" w:cs="Times New Roman"/>
          <w:snapToGrid w:val="0"/>
          <w:color w:val="000000"/>
          <w:spacing w:val="-16"/>
          <w:kern w:val="21"/>
          <w:szCs w:val="21"/>
        </w:rPr>
        <w:fldChar w:fldCharType="end"/>
      </w:r>
      <w:r>
        <w:rPr>
          <w:rFonts w:ascii="Times New Roman" w:hAnsi="Times New Roman" w:eastAsia="宋体" w:cs="Times New Roman"/>
          <w:snapToGrid w:val="0"/>
          <w:color w:val="000000"/>
          <w:spacing w:val="-1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1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①</w:t>
      </w:r>
      <w:r>
        <w:rPr>
          <w:rFonts w:ascii="Times New Roman" w:hAnsi="Times New Roman" w:eastAsia="宋体" w:cs="Times New Roman"/>
          <w:snapToGrid w:val="0"/>
          <w:color w:val="000000"/>
          <w:spacing w:val="-6"/>
          <w:kern w:val="21"/>
          <w:szCs w:val="21"/>
        </w:rPr>
        <w:fldChar w:fldCharType="end"/>
      </w:r>
    </w:p>
    <w:p>
      <w:pPr>
        <w:pStyle w:val="19"/>
        <w:spacing w:before="192" w:beforeLines="80" w:after="24"/>
        <w:rPr>
          <w:rFonts w:ascii="Times New Roman" w:hAnsi="Times New Roman" w:eastAsia="宋体" w:cs="Times New Roman"/>
        </w:rPr>
      </w:pPr>
      <w:r>
        <w:rPr>
          <w:rFonts w:ascii="Times New Roman" w:hAnsi="Times New Roman" w:cs="Times New Roman"/>
        </w:rPr>
        <mc:AlternateContent>
          <mc:Choice Requires="wps">
            <w:drawing>
              <wp:anchor distT="0" distB="0" distL="114300" distR="114300" simplePos="0" relativeHeight="251664384" behindDoc="0" locked="0" layoutInCell="1" allowOverlap="1">
                <wp:simplePos x="0" y="0"/>
                <wp:positionH relativeFrom="column">
                  <wp:posOffset>2945130</wp:posOffset>
                </wp:positionH>
                <wp:positionV relativeFrom="paragraph">
                  <wp:posOffset>1789430</wp:posOffset>
                </wp:positionV>
                <wp:extent cx="815340" cy="419735"/>
                <wp:effectExtent l="0" t="0" r="22860" b="19050"/>
                <wp:wrapNone/>
                <wp:docPr id="1" name="圆角矩形标注 1"/>
                <wp:cNvGraphicFramePr/>
                <a:graphic xmlns:a="http://schemas.openxmlformats.org/drawingml/2006/main">
                  <a:graphicData uri="http://schemas.microsoft.com/office/word/2010/wordprocessingShape">
                    <wps:wsp>
                      <wps:cNvSpPr/>
                      <wps:spPr>
                        <a:xfrm>
                          <a:off x="0" y="0"/>
                          <a:ext cx="815346" cy="419591"/>
                        </a:xfrm>
                        <a:prstGeom prst="wedgeRoundRectCallout">
                          <a:avLst>
                            <a:gd name="adj1" fmla="val -16069"/>
                            <a:gd name="adj2" fmla="val 31569"/>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rPr>
                            </w:pPr>
                            <w:r>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1.9pt;margin-top:140.9pt;height:33.05pt;width:64.2pt;z-index:251664384;v-text-anchor:middle;mso-width-relative:page;mso-height-relative:page;" filled="f" stroked="t" coordsize="21600,21600" o:gfxdata="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Hvjo9TaAAAACwEAAA8AAAAAAAAAAQAgAAAA&#10;IgAAAGRycy9kb3ducmV2LnhtbFBLAQIUABQAAAAIAIdO4kB5XKjRtAIAAFEFAAAOAAAAAAAAAAEA&#10;IAAAACkBAABkcnMvZTJvRG9jLnhtbFBLBQYAAAAABgAGAFkBAABPBgAAAAA=&#10;" adj="7329,17619,14400">
                <v:fill on="f" focussize="0,0"/>
                <v:stroke weight="2pt" color="#FF0000 [3204]" joinstyle="round"/>
                <v:imagedata o:title=""/>
                <o:lock v:ext="edit" aspectratio="f"/>
                <v:textbox>
                  <w:txbxContent>
                    <w:p>
                      <w:pPr>
                        <w:jc w:val="center"/>
                        <w:rPr>
                          <w:color w:val="FF0000"/>
                        </w:rPr>
                      </w:pPr>
                      <w:r>
                        <w:rPr>
                          <w:rFonts w:hint="eastAsia"/>
                          <w:color w:val="FF0000"/>
                        </w:rPr>
                        <w:t>项目位置</w:t>
                      </w:r>
                    </w:p>
                  </w:txbxContent>
                </v:textbox>
              </v:shape>
            </w:pict>
          </mc:Fallback>
        </mc:AlternateContent>
      </w:r>
      <w:r>
        <w:rPr>
          <w:rFonts w:ascii="Times New Roman" w:hAnsi="Times New Roman" w:cs="Times New Roman"/>
        </w:rPr>
        <w:drawing>
          <wp:anchor distT="0" distB="0" distL="114300" distR="114300" simplePos="0" relativeHeight="251665408" behindDoc="0" locked="0" layoutInCell="1" allowOverlap="1">
            <wp:simplePos x="0" y="0"/>
            <wp:positionH relativeFrom="column">
              <wp:posOffset>671830</wp:posOffset>
            </wp:positionH>
            <wp:positionV relativeFrom="paragraph">
              <wp:posOffset>120015</wp:posOffset>
            </wp:positionV>
            <wp:extent cx="1201420" cy="1224915"/>
            <wp:effectExtent l="19050" t="19050" r="17780" b="13335"/>
            <wp:wrapNone/>
            <wp:docPr id="18" name="图片 18" descr="C:\Users\Administrator\Desktop\风玫瑰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esktop\风玫瑰图.pn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40000"/>
                              </a14:imgEffect>
                              <a14:imgEffect>
                                <a14:sharpenSoften amount="-50000"/>
                              </a14:imgEffect>
                            </a14:imgLayer>
                          </a14:imgProps>
                        </a:ext>
                        <a:ext uri="{28A0092B-C50C-407E-A947-70E740481C1C}">
                          <a14:useLocalDpi xmlns:a14="http://schemas.microsoft.com/office/drawing/2010/main" val="0"/>
                        </a:ext>
                      </a:extLst>
                    </a:blip>
                    <a:srcRect l="2513" r="1340" b="2141"/>
                    <a:stretch>
                      <a:fillRect/>
                    </a:stretch>
                  </pic:blipFill>
                  <pic:spPr>
                    <a:xfrm>
                      <a:off x="0" y="0"/>
                      <a:ext cx="1201420" cy="1224915"/>
                    </a:xfrm>
                    <a:prstGeom prst="rect">
                      <a:avLst/>
                    </a:prstGeom>
                    <a:noFill/>
                    <a:ln>
                      <a:solidFill>
                        <a:schemeClr val="tx1"/>
                      </a:solidFill>
                    </a:ln>
                  </pic:spPr>
                </pic:pic>
              </a:graphicData>
            </a:graphic>
          </wp:anchor>
        </w:drawing>
      </w:r>
      <w:r>
        <w:rPr>
          <w:rFonts w:ascii="Times New Roman" w:hAnsi="Times New Roman" w:cs="Times New Roman"/>
        </w:rPr>
        <mc:AlternateContent>
          <mc:Choice Requires="wps">
            <w:drawing>
              <wp:anchor distT="0" distB="0" distL="114300" distR="114300" simplePos="0" relativeHeight="251659264" behindDoc="0" locked="0" layoutInCell="1" allowOverlap="1">
                <wp:simplePos x="0" y="0"/>
                <wp:positionH relativeFrom="column">
                  <wp:posOffset>3693795</wp:posOffset>
                </wp:positionH>
                <wp:positionV relativeFrom="paragraph">
                  <wp:posOffset>2216785</wp:posOffset>
                </wp:positionV>
                <wp:extent cx="130175" cy="118110"/>
                <wp:effectExtent l="38100" t="19050" r="41275" b="34290"/>
                <wp:wrapNone/>
                <wp:docPr id="4" name="五角星 4"/>
                <wp:cNvGraphicFramePr/>
                <a:graphic xmlns:a="http://schemas.openxmlformats.org/drawingml/2006/main">
                  <a:graphicData uri="http://schemas.microsoft.com/office/word/2010/wordprocessingShape">
                    <wps:wsp>
                      <wps:cNvSpPr/>
                      <wps:spPr>
                        <a:xfrm>
                          <a:off x="0" y="0"/>
                          <a:ext cx="130175" cy="118110"/>
                        </a:xfrm>
                        <a:prstGeom prst="star5">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0.85pt;margin-top:174.55pt;height:9.3pt;width:10.25pt;z-index:251659264;v-text-anchor:middle;mso-width-relative:page;mso-height-relative:page;" fillcolor="#C0504D [3205]" filled="t" stroked="t" coordsize="130175,118110" o:gfxdata="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VblSPZAAAACwEAAA8AAAAAAAAAAQAgAAAAIgAAAGRycy9kb3du&#10;cmV2LnhtbFBLAQIUABQAAAAIAIdO4kDuRvr+cAIAAOAEAAAOAAAAAAAAAAEAIAAAACgBAABkcnMv&#10;ZTJvRG9jLnhtbFBLBQYAAAAABgAGAFkBAAAKBgAAAAA=&#10;" path="m0,45113l49722,45114,65087,0,80452,45114,130174,45113,89948,72995,105313,118109,65087,90227,24861,118109,40226,72995xe">
                <v:path o:connectlocs="65087,0;0,45113;24861,118109;105313,118109;130174,45113" o:connectangles="247,164,82,82,0"/>
                <v:fill on="t" focussize="0,0"/>
                <v:stroke weight="2pt" color="#FF0000 [3204]" joinstyle="round"/>
                <v:imagedata o:title=""/>
                <o:lock v:ext="edit" aspectratio="f"/>
              </v:shape>
            </w:pict>
          </mc:Fallback>
        </mc:AlternateContent>
      </w:r>
      <w:r>
        <w:rPr>
          <w:rFonts w:ascii="Times New Roman" w:hAnsi="Times New Roman" w:eastAsia="宋体" w:cs="Times New Roman"/>
        </w:rPr>
        <mc:AlternateContent>
          <mc:Choice Requires="wps">
            <w:drawing>
              <wp:anchor distT="0" distB="0" distL="114300" distR="114300" simplePos="0" relativeHeight="251663360" behindDoc="0" locked="0" layoutInCell="1" allowOverlap="1">
                <wp:simplePos x="0" y="0"/>
                <wp:positionH relativeFrom="column">
                  <wp:posOffset>1278255</wp:posOffset>
                </wp:positionH>
                <wp:positionV relativeFrom="paragraph">
                  <wp:posOffset>5053330</wp:posOffset>
                </wp:positionV>
                <wp:extent cx="0" cy="124460"/>
                <wp:effectExtent l="0" t="0" r="19050" b="27940"/>
                <wp:wrapNone/>
                <wp:docPr id="22" name="直接连接符 22"/>
                <wp:cNvGraphicFramePr/>
                <a:graphic xmlns:a="http://schemas.openxmlformats.org/drawingml/2006/main">
                  <a:graphicData uri="http://schemas.microsoft.com/office/word/2010/wordprocessingShape">
                    <wps:wsp>
                      <wps:cNvCnPr/>
                      <wps:spPr>
                        <a:xfrm flipV="1">
                          <a:off x="0" y="0"/>
                          <a:ext cx="0" cy="1244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00.65pt;margin-top:397.9pt;height:9.8pt;width:0pt;z-index:251663360;mso-width-relative:page;mso-height-relative:page;" filled="f" stroked="t" coordsize="21600,21600" o:gfxdata="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ImCjg1wAAAAsBAAAP&#10;AAAAAAAAAAEAIAAAACIAAABkcnMvZG93bnJldi54bWxQSwECFAAUAAAACACHTuJAgxzxQuABAACm&#10;AwAADgAAAAAAAAABACAAAAAmAQAAZHJzL2Uyb0RvYy54bWxQSwUGAAAAAAYABgBZAQAAeAUAAAAA&#10;">
                <v:fill on="f" focussize="0,0"/>
                <v:stroke weight="1.5pt" color="#000000 [3213]" joinstyle="round"/>
                <v:imagedata o:title=""/>
                <o:lock v:ext="edit" aspectratio="f"/>
              </v:line>
            </w:pict>
          </mc:Fallback>
        </mc:AlternateContent>
      </w:r>
      <w:r>
        <w:rPr>
          <w:rFonts w:ascii="Times New Roman" w:hAnsi="Times New Roman" w:eastAsia="宋体" w:cs="Times New Roman"/>
        </w:rPr>
        <mc:AlternateContent>
          <mc:Choice Requires="wps">
            <w:drawing>
              <wp:anchor distT="0" distB="0" distL="114300" distR="114300" simplePos="0" relativeHeight="251662336" behindDoc="0" locked="0" layoutInCell="1" allowOverlap="1">
                <wp:simplePos x="0" y="0"/>
                <wp:positionH relativeFrom="column">
                  <wp:posOffset>917575</wp:posOffset>
                </wp:positionH>
                <wp:positionV relativeFrom="paragraph">
                  <wp:posOffset>5053330</wp:posOffset>
                </wp:positionV>
                <wp:extent cx="0" cy="124460"/>
                <wp:effectExtent l="0" t="0" r="19050" b="27940"/>
                <wp:wrapNone/>
                <wp:docPr id="21" name="直接连接符 21"/>
                <wp:cNvGraphicFramePr/>
                <a:graphic xmlns:a="http://schemas.openxmlformats.org/drawingml/2006/main">
                  <a:graphicData uri="http://schemas.microsoft.com/office/word/2010/wordprocessingShape">
                    <wps:wsp>
                      <wps:cNvCnPr/>
                      <wps:spPr>
                        <a:xfrm flipV="1">
                          <a:off x="0" y="0"/>
                          <a:ext cx="0" cy="1244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72.25pt;margin-top:397.9pt;height:9.8pt;width:0pt;z-index:251662336;mso-width-relative:page;mso-height-relative:page;" filled="f" stroked="t" coordsize="21600,21600" o:gfxdata="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yMgQ9gAAAALAQAA&#10;DwAAAAAAAAABACAAAAAiAAAAZHJzL2Rvd25yZXYueG1sUEsBAhQAFAAAAAgAh07iQKXMhMzgAQAA&#10;pgMAAA4AAAAAAAAAAQAgAAAAJwEAAGRycy9lMm9Eb2MueG1sUEsFBgAAAAAGAAYAWQEAAHkFAAAA&#10;AA==&#10;">
                <v:fill on="f" focussize="0,0"/>
                <v:stroke weight="1.5pt" color="#000000 [3213]" joinstyle="round"/>
                <v:imagedata o:title=""/>
                <o:lock v:ext="edit" aspectratio="f"/>
              </v:line>
            </w:pict>
          </mc:Fallback>
        </mc:AlternateContent>
      </w:r>
      <w:r>
        <w:rPr>
          <w:rFonts w:ascii="Times New Roman" w:hAnsi="Times New Roman" w:eastAsia="宋体" w:cs="Times New Roman"/>
        </w:rPr>
        <mc:AlternateContent>
          <mc:Choice Requires="wps">
            <w:drawing>
              <wp:anchor distT="0" distB="0" distL="114300" distR="114300" simplePos="0" relativeHeight="251661312" behindDoc="0" locked="0" layoutInCell="1" allowOverlap="1">
                <wp:simplePos x="0" y="0"/>
                <wp:positionH relativeFrom="column">
                  <wp:posOffset>918845</wp:posOffset>
                </wp:positionH>
                <wp:positionV relativeFrom="paragraph">
                  <wp:posOffset>5177155</wp:posOffset>
                </wp:positionV>
                <wp:extent cx="359410" cy="0"/>
                <wp:effectExtent l="0" t="0" r="21590" b="19050"/>
                <wp:wrapNone/>
                <wp:docPr id="20" name="直接连接符 20"/>
                <wp:cNvGraphicFramePr/>
                <a:graphic xmlns:a="http://schemas.openxmlformats.org/drawingml/2006/main">
                  <a:graphicData uri="http://schemas.microsoft.com/office/word/2010/wordprocessingShape">
                    <wps:wsp>
                      <wps:cNvCnPr/>
                      <wps:spPr>
                        <a:xfrm>
                          <a:off x="0" y="0"/>
                          <a:ext cx="35941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2.35pt;margin-top:407.65pt;height:0pt;width:28.3pt;z-index:251661312;mso-width-relative:page;mso-height-relative:page;" filled="f" stroked="t" coordsize="21600,21600" o:gfxdata="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K9EVn/WAAAACwEAAA8AAAAAAAAAAQAg&#10;AAAAIgAAAGRycy9kb3ducmV2LnhtbFBLAQIUABQAAAAIAIdO4kBkhq001wEAAJwDAAAOAAAAAAAA&#10;AAEAIAAAACUBAABkcnMvZTJvRG9jLnhtbFBLBQYAAAAABgAGAFkBAABuBQAAAAA=&#10;">
                <v:fill on="f" focussize="0,0"/>
                <v:stroke weight="1.5pt" color="#000000 [3213]" joinstyle="round"/>
                <v:imagedata o:title=""/>
                <o:lock v:ext="edit" aspectratio="f"/>
              </v:line>
            </w:pict>
          </mc:Fallback>
        </mc:AlternateContent>
      </w:r>
      <w:r>
        <w:rPr>
          <w:rFonts w:ascii="Times New Roman" w:hAnsi="Times New Roman" w:eastAsia="宋体" w:cs="Times New Roman"/>
        </w:rPr>
        <mc:AlternateContent>
          <mc:Choice Requires="wps">
            <w:drawing>
              <wp:anchor distT="0" distB="0" distL="114300" distR="114300" simplePos="0" relativeHeight="251660288" behindDoc="0" locked="0" layoutInCell="1" allowOverlap="1">
                <wp:simplePos x="0" y="0"/>
                <wp:positionH relativeFrom="column">
                  <wp:posOffset>675005</wp:posOffset>
                </wp:positionH>
                <wp:positionV relativeFrom="paragraph">
                  <wp:posOffset>4795520</wp:posOffset>
                </wp:positionV>
                <wp:extent cx="835025" cy="487045"/>
                <wp:effectExtent l="0" t="0" r="22225" b="27305"/>
                <wp:wrapNone/>
                <wp:docPr id="19" name="文本框 19"/>
                <wp:cNvGraphicFramePr/>
                <a:graphic xmlns:a="http://schemas.openxmlformats.org/drawingml/2006/main">
                  <a:graphicData uri="http://schemas.microsoft.com/office/word/2010/wordprocessingShape">
                    <wps:wsp>
                      <wps:cNvSpPr txBox="1"/>
                      <wps:spPr>
                        <a:xfrm>
                          <a:off x="0" y="0"/>
                          <a:ext cx="835025" cy="4870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1350</w:t>
                            </w:r>
                            <w: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15pt;margin-top:377.6pt;height:38.35pt;width:65.75pt;z-index:251660288;mso-width-relative:page;mso-height-relative:page;" fillcolor="#FFFFFF [3201]" filled="t" stroked="t" coordsize="21600,21600" o:gfxdata="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Q&#10;5otV1wAAAAsBAAAPAAAAAAAAAAEAIAAAACIAAABkcnMvZG93bnJldi54bWxQSwECFAAUAAAACACH&#10;TuJACS8Ye14CAADGBAAADgAAAAAAAAABACAAAAAmAQAAZHJzL2Uyb0RvYy54bWxQSwUGAAAAAAYA&#10;BgBZAQAA9gUAAAAA&#10;">
                <v:fill on="t" focussize="0,0"/>
                <v:stroke weight="0.5pt" color="#000000 [3204]" joinstyle="round"/>
                <v:imagedata o:title=""/>
                <o:lock v:ext="edit" aspectratio="f"/>
                <v:textbox>
                  <w:txbxContent>
                    <w:p>
                      <w:pPr>
                        <w:jc w:val="center"/>
                      </w:pPr>
                      <w:r>
                        <w:rPr>
                          <w:rFonts w:hint="eastAsia"/>
                        </w:rPr>
                        <w:t>1350</w:t>
                      </w:r>
                      <w:r>
                        <w:t>m</w:t>
                      </w:r>
                    </w:p>
                  </w:txbxContent>
                </v:textbox>
              </v:shape>
            </w:pict>
          </mc:Fallback>
        </mc:AlternateContent>
      </w:r>
      <w:r>
        <w:rPr>
          <w:rFonts w:ascii="Times New Roman" w:hAnsi="Times New Roman" w:cs="Times New Roman"/>
        </w:rPr>
        <w:drawing>
          <wp:inline distT="0" distB="0" distL="0" distR="0">
            <wp:extent cx="7179945" cy="5161280"/>
            <wp:effectExtent l="19050" t="19050" r="20955" b="203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41"/>
                    <a:stretch>
                      <a:fillRect/>
                    </a:stretch>
                  </pic:blipFill>
                  <pic:spPr>
                    <a:xfrm>
                      <a:off x="0" y="0"/>
                      <a:ext cx="7231071" cy="5198169"/>
                    </a:xfrm>
                    <a:prstGeom prst="rect">
                      <a:avLst/>
                    </a:prstGeom>
                    <a:ln w="19050">
                      <a:solidFill>
                        <a:schemeClr val="tx1"/>
                      </a:solidFill>
                    </a:ln>
                  </pic:spPr>
                </pic:pic>
              </a:graphicData>
            </a:graphic>
          </wp:inline>
        </w:drawing>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r>
        <w:rPr>
          <w:rFonts w:eastAsia="仿宋"/>
          <w:b/>
          <w:color w:val="000000"/>
          <w:sz w:val="28"/>
          <w:szCs w:val="28"/>
        </w:rPr>
        <w:t>附图1  地理位置图</w:t>
      </w:r>
    </w:p>
    <w:p>
      <w:pPr>
        <w:jc w:val="center"/>
        <w:rPr>
          <w:lang w:bidi="mn-Mong-CN"/>
        </w:rPr>
      </w:pPr>
      <w:r>
        <w:rPr>
          <w:lang w:bidi="mn-Mong-CN"/>
        </w:rPr>
        <w:drawing>
          <wp:anchor distT="0" distB="0" distL="114300" distR="114300" simplePos="0" relativeHeight="251685888" behindDoc="0" locked="0" layoutInCell="1" allowOverlap="1">
            <wp:simplePos x="0" y="0"/>
            <wp:positionH relativeFrom="column">
              <wp:posOffset>6743700</wp:posOffset>
            </wp:positionH>
            <wp:positionV relativeFrom="paragraph">
              <wp:posOffset>24130</wp:posOffset>
            </wp:positionV>
            <wp:extent cx="1201420" cy="1224915"/>
            <wp:effectExtent l="19050" t="19050" r="17780" b="13335"/>
            <wp:wrapNone/>
            <wp:docPr id="74" name="图片 74" descr="C:\Users\Administrator\Desktop\风玫瑰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strator\Desktop\风玫瑰图.pn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40000"/>
                              </a14:imgEffect>
                              <a14:imgEffect>
                                <a14:sharpenSoften amount="-50000"/>
                              </a14:imgEffect>
                            </a14:imgLayer>
                          </a14:imgProps>
                        </a:ext>
                        <a:ext uri="{28A0092B-C50C-407E-A947-70E740481C1C}">
                          <a14:useLocalDpi xmlns:a14="http://schemas.microsoft.com/office/drawing/2010/main" val="0"/>
                        </a:ext>
                      </a:extLst>
                    </a:blip>
                    <a:srcRect l="2513" r="1340" b="2141"/>
                    <a:stretch>
                      <a:fillRect/>
                    </a:stretch>
                  </pic:blipFill>
                  <pic:spPr>
                    <a:xfrm>
                      <a:off x="0" y="0"/>
                      <a:ext cx="1201420" cy="1224915"/>
                    </a:xfrm>
                    <a:prstGeom prst="rect">
                      <a:avLst/>
                    </a:prstGeom>
                    <a:noFill/>
                    <a:ln>
                      <a:solidFill>
                        <a:schemeClr val="tx1"/>
                      </a:solidFill>
                    </a:ln>
                  </pic:spPr>
                </pic:pic>
              </a:graphicData>
            </a:graphic>
          </wp:anchor>
        </w:drawing>
      </w:r>
      <w:r>
        <w:rPr>
          <w:lang w:bidi="mn-Mong-CN"/>
        </w:rPr>
        <mc:AlternateContent>
          <mc:Choice Requires="wps">
            <w:drawing>
              <wp:anchor distT="0" distB="0" distL="114300" distR="114300" simplePos="0" relativeHeight="251671552" behindDoc="0" locked="0" layoutInCell="1" allowOverlap="1">
                <wp:simplePos x="0" y="0"/>
                <wp:positionH relativeFrom="column">
                  <wp:posOffset>5430520</wp:posOffset>
                </wp:positionH>
                <wp:positionV relativeFrom="paragraph">
                  <wp:posOffset>2416810</wp:posOffset>
                </wp:positionV>
                <wp:extent cx="614680" cy="290195"/>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614855" cy="2899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宏忻线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7.6pt;margin-top:190.3pt;height:22.85pt;width:48.4pt;z-index:251671552;mso-width-relative:page;mso-height-relative:page;" filled="f" stroked="f" coordsize="21600,21600" o:gfxdata="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SzIpQdwAAAALAQAADwAAAAAAAAABACAA&#10;AAAiAAAAZHJzL2Rvd25yZXYueG1sUEsBAhQAFAAAAAgAh07iQAXYpFNCAgAAdQQAAA4AAAAAAAAA&#10;AQAgAAAAKwEAAGRycy9lMm9Eb2MueG1sUEsFBgAAAAAGAAYAWQEAAN8FAAAAAA==&#10;">
                <v:fill on="f" focussize="0,0"/>
                <v:stroke on="f" weight="0.5pt"/>
                <v:imagedata o:title=""/>
                <o:lock v:ext="edit" aspectratio="f"/>
                <v:textbox>
                  <w:txbxContent>
                    <w:p>
                      <w:pPr>
                        <w:rPr>
                          <w:b/>
                          <w:bCs/>
                        </w:rPr>
                      </w:pPr>
                      <w:r>
                        <w:rPr>
                          <w:rFonts w:hint="eastAsia"/>
                          <w:b/>
                          <w:bCs/>
                        </w:rPr>
                        <w:t>宏忻线</w:t>
                      </w:r>
                    </w:p>
                  </w:txbxContent>
                </v:textbox>
              </v:shape>
            </w:pict>
          </mc:Fallback>
        </mc:AlternateContent>
      </w:r>
      <w:r>
        <w:rPr>
          <w:lang w:bidi="mn-Mong-CN"/>
        </w:rPr>
        <mc:AlternateContent>
          <mc:Choice Requires="wps">
            <w:drawing>
              <wp:anchor distT="0" distB="0" distL="114300" distR="114300" simplePos="0" relativeHeight="251670528" behindDoc="0" locked="0" layoutInCell="1" allowOverlap="1">
                <wp:simplePos x="0" y="0"/>
                <wp:positionH relativeFrom="column">
                  <wp:posOffset>3971290</wp:posOffset>
                </wp:positionH>
                <wp:positionV relativeFrom="paragraph">
                  <wp:posOffset>2902585</wp:posOffset>
                </wp:positionV>
                <wp:extent cx="507365" cy="29019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507380" cy="2899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农田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7pt;margin-top:228.55pt;height:22.85pt;width:39.95pt;z-index:251670528;mso-width-relative:page;mso-height-relative:page;" filled="f" stroked="f" coordsize="21600,21600" o:gfxdata="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U7vwvcAAAACwEAAA8AAAAAAAAAAQAg&#10;AAAAIgAAAGRycy9kb3ducmV2LnhtbFBLAQIUABQAAAAIAIdO4kBlOLvyQwIAAHUEAAAOAAAAAAAA&#10;AAEAIAAAACsBAABkcnMvZTJvRG9jLnhtbFBLBQYAAAAABgAGAFkBAADgBQAAAAA=&#10;">
                <v:fill on="f" focussize="0,0"/>
                <v:stroke on="f" weight="0.5pt"/>
                <v:imagedata o:title=""/>
                <o:lock v:ext="edit" aspectratio="f"/>
                <v:textbox>
                  <w:txbxContent>
                    <w:p>
                      <w:pPr>
                        <w:rPr>
                          <w:b/>
                          <w:bCs/>
                        </w:rPr>
                      </w:pPr>
                      <w:r>
                        <w:rPr>
                          <w:rFonts w:hint="eastAsia"/>
                          <w:b/>
                          <w:bCs/>
                        </w:rPr>
                        <w:t>农田</w:t>
                      </w:r>
                    </w:p>
                  </w:txbxContent>
                </v:textbox>
              </v:shape>
            </w:pict>
          </mc:Fallback>
        </mc:AlternateContent>
      </w:r>
      <w:r>
        <w:rPr>
          <w:lang w:bidi="mn-Mong-CN"/>
        </w:rPr>
        <mc:AlternateContent>
          <mc:Choice Requires="wps">
            <w:drawing>
              <wp:anchor distT="0" distB="0" distL="114300" distR="114300" simplePos="0" relativeHeight="251669504" behindDoc="0" locked="0" layoutInCell="1" allowOverlap="1">
                <wp:simplePos x="0" y="0"/>
                <wp:positionH relativeFrom="column">
                  <wp:posOffset>3616325</wp:posOffset>
                </wp:positionH>
                <wp:positionV relativeFrom="paragraph">
                  <wp:posOffset>1205865</wp:posOffset>
                </wp:positionV>
                <wp:extent cx="1668780" cy="42672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66878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定襄县古城锻造有限公司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75pt;margin-top:94.95pt;height:33.6pt;width:131.4pt;z-index:251669504;mso-width-relative:page;mso-height-relative:page;" filled="f" stroked="f" coordsize="21600,21600" o:gfxdata="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2e4+htwAAAALAQAADwAAAAAAAAABACAA&#10;AAAiAAAAZHJzL2Rvd25yZXYueG1sUEsBAhQAFAAAAAgAh07iQIcL7yFCAgAAdgQAAA4AAAAAAAAA&#10;AQAgAAAAKwEAAGRycy9lMm9Eb2MueG1sUEsFBgAAAAAGAAYAWQEAAN8FAAAAAA==&#10;">
                <v:fill on="f" focussize="0,0"/>
                <v:stroke on="f" weight="0.5pt"/>
                <v:imagedata o:title=""/>
                <o:lock v:ext="edit" aspectratio="f"/>
                <v:textbox>
                  <w:txbxContent>
                    <w:p>
                      <w:pPr>
                        <w:rPr>
                          <w:b/>
                          <w:bCs/>
                        </w:rPr>
                      </w:pPr>
                      <w:r>
                        <w:rPr>
                          <w:rFonts w:hint="eastAsia"/>
                          <w:b/>
                          <w:bCs/>
                        </w:rPr>
                        <w:t>定襄县古城锻造有限公司</w:t>
                      </w:r>
                    </w:p>
                  </w:txbxContent>
                </v:textbox>
              </v:shape>
            </w:pict>
          </mc:Fallback>
        </mc:AlternateContent>
      </w:r>
      <w:r>
        <w:rPr>
          <w:lang w:bidi="mn-Mong-CN"/>
        </w:rPr>
        <mc:AlternateContent>
          <mc:Choice Requires="wps">
            <w:drawing>
              <wp:anchor distT="0" distB="0" distL="114300" distR="114300" simplePos="0" relativeHeight="251668480" behindDoc="0" locked="0" layoutInCell="1" allowOverlap="1">
                <wp:simplePos x="0" y="0"/>
                <wp:positionH relativeFrom="column">
                  <wp:posOffset>3602990</wp:posOffset>
                </wp:positionH>
                <wp:positionV relativeFrom="paragraph">
                  <wp:posOffset>750570</wp:posOffset>
                </wp:positionV>
                <wp:extent cx="1684020" cy="942340"/>
                <wp:effectExtent l="0" t="0" r="12065" b="10795"/>
                <wp:wrapNone/>
                <wp:docPr id="11" name="任意多边形 11"/>
                <wp:cNvGraphicFramePr/>
                <a:graphic xmlns:a="http://schemas.openxmlformats.org/drawingml/2006/main">
                  <a:graphicData uri="http://schemas.microsoft.com/office/word/2010/wordprocessingShape">
                    <wps:wsp>
                      <wps:cNvSpPr/>
                      <wps:spPr>
                        <a:xfrm>
                          <a:off x="0" y="0"/>
                          <a:ext cx="1683834" cy="942278"/>
                        </a:xfrm>
                        <a:custGeom>
                          <a:avLst/>
                          <a:gdLst>
                            <a:gd name="connsiteX0" fmla="*/ 1672683 w 1683834"/>
                            <a:gd name="connsiteY0" fmla="*/ 473927 h 942278"/>
                            <a:gd name="connsiteX1" fmla="*/ 1683834 w 1683834"/>
                            <a:gd name="connsiteY1" fmla="*/ 936703 h 942278"/>
                            <a:gd name="connsiteX2" fmla="*/ 39029 w 1683834"/>
                            <a:gd name="connsiteY2" fmla="*/ 942278 h 942278"/>
                            <a:gd name="connsiteX3" fmla="*/ 0 w 1683834"/>
                            <a:gd name="connsiteY3" fmla="*/ 0 h 942278"/>
                            <a:gd name="connsiteX4" fmla="*/ 1672683 w 1683834"/>
                            <a:gd name="connsiteY4" fmla="*/ 407020 h 942278"/>
                            <a:gd name="connsiteX5" fmla="*/ 1672683 w 1683834"/>
                            <a:gd name="connsiteY5" fmla="*/ 473927 h 942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683834" h="942278">
                              <a:moveTo>
                                <a:pt x="1672683" y="473927"/>
                              </a:moveTo>
                              <a:lnTo>
                                <a:pt x="1683834" y="936703"/>
                              </a:lnTo>
                              <a:lnTo>
                                <a:pt x="39029" y="942278"/>
                              </a:lnTo>
                              <a:lnTo>
                                <a:pt x="0" y="0"/>
                              </a:lnTo>
                              <a:lnTo>
                                <a:pt x="1672683" y="407020"/>
                              </a:lnTo>
                              <a:lnTo>
                                <a:pt x="1672683" y="473927"/>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283.7pt;margin-top:59.1pt;height:74.2pt;width:132.6pt;z-index:251668480;v-text-anchor:middle;mso-width-relative:page;mso-height-relative:page;" filled="f" stroked="t" coordsize="1683834,942278" o:gfxdata="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Ka6zCvbAAAACwEAAA8AAAAAAAAAAQAgAAAAIgAAAGRycy9kb3ducmV2LnhtbFBL&#10;AQIUABQAAAAIAIdO4kB1bKEQuwMAADEKAAAOAAAAAAAAAAEAIAAAACoBAABkcnMvZTJvRG9jLnht&#10;bFBLBQYAAAAABgAGAFkBAABXBwAAAAA=&#10;" path="m1672683,473927l1683834,936703,39029,942278,0,0,1672683,407020,1672683,473927xe">
                <v:path o:connectlocs="1672683,473927;1683834,936703;39029,942278;0,0;1672683,407020;1672683,473927" o:connectangles="0,0,0,0,0,0"/>
                <v:fill on="f" focussize="0,0"/>
                <v:stroke weight="2pt" color="#FFFF00 [3204]" joinstyle="round"/>
                <v:imagedata o:title=""/>
                <o:lock v:ext="edit" aspectratio="f"/>
              </v:shape>
            </w:pict>
          </mc:Fallback>
        </mc:AlternateContent>
      </w:r>
      <w:r>
        <w:rPr>
          <w:lang w:bidi="mn-Mong-CN"/>
        </w:rPr>
        <mc:AlternateContent>
          <mc:Choice Requires="wps">
            <w:drawing>
              <wp:anchor distT="0" distB="0" distL="114300" distR="114300" simplePos="0" relativeHeight="251667456" behindDoc="0" locked="0" layoutInCell="1" allowOverlap="1">
                <wp:simplePos x="0" y="0"/>
                <wp:positionH relativeFrom="column">
                  <wp:posOffset>1744345</wp:posOffset>
                </wp:positionH>
                <wp:positionV relativeFrom="paragraph">
                  <wp:posOffset>2085340</wp:posOffset>
                </wp:positionV>
                <wp:extent cx="1668780" cy="42672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668804" cy="4270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定襄县安信锻造有限公司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35pt;margin-top:164.2pt;height:33.6pt;width:131.4pt;z-index:251667456;mso-width-relative:page;mso-height-relative:page;" filled="f" stroked="f" coordsize="21600,21600" o:gfxdata="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hNxN2d0AAAALAQAADwAAAAAAAAABACAA&#10;AAAiAAAAZHJzL2Rvd25yZXYueG1sUEsBAhQAFAAAAAgAh07iQL8Pa8tBAgAAdgQAAA4AAAAAAAAA&#10;AQAgAAAALAEAAGRycy9lMm9Eb2MueG1sUEsFBgAAAAAGAAYAWQEAAN8FAAAAAA==&#10;">
                <v:fill on="f" focussize="0,0"/>
                <v:stroke on="f" weight="0.5pt"/>
                <v:imagedata o:title=""/>
                <o:lock v:ext="edit" aspectratio="f"/>
                <v:textbox>
                  <w:txbxContent>
                    <w:p>
                      <w:pPr>
                        <w:rPr>
                          <w:b/>
                          <w:bCs/>
                        </w:rPr>
                      </w:pPr>
                      <w:r>
                        <w:rPr>
                          <w:rFonts w:hint="eastAsia"/>
                          <w:b/>
                          <w:bCs/>
                        </w:rPr>
                        <w:t>定襄县安信锻造有限公司</w:t>
                      </w:r>
                    </w:p>
                  </w:txbxContent>
                </v:textbox>
              </v:shape>
            </w:pict>
          </mc:Fallback>
        </mc:AlternateContent>
      </w:r>
      <w:r>
        <w:rPr>
          <w:lang w:bidi="mn-Mong-CN"/>
        </w:rPr>
        <mc:AlternateContent>
          <mc:Choice Requires="wps">
            <w:drawing>
              <wp:anchor distT="0" distB="0" distL="114300" distR="114300" simplePos="0" relativeHeight="251666432" behindDoc="0" locked="0" layoutInCell="1" allowOverlap="1">
                <wp:simplePos x="0" y="0"/>
                <wp:positionH relativeFrom="column">
                  <wp:posOffset>1529080</wp:posOffset>
                </wp:positionH>
                <wp:positionV relativeFrom="paragraph">
                  <wp:posOffset>1783715</wp:posOffset>
                </wp:positionV>
                <wp:extent cx="2052955" cy="918845"/>
                <wp:effectExtent l="0" t="0" r="23495" b="15240"/>
                <wp:wrapNone/>
                <wp:docPr id="9" name="任意多边形 9"/>
                <wp:cNvGraphicFramePr/>
                <a:graphic xmlns:a="http://schemas.openxmlformats.org/drawingml/2006/main">
                  <a:graphicData uri="http://schemas.microsoft.com/office/word/2010/wordprocessingShape">
                    <wps:wsp>
                      <wps:cNvSpPr/>
                      <wps:spPr>
                        <a:xfrm>
                          <a:off x="0" y="0"/>
                          <a:ext cx="2053086" cy="918713"/>
                        </a:xfrm>
                        <a:custGeom>
                          <a:avLst/>
                          <a:gdLst>
                            <a:gd name="connsiteX0" fmla="*/ 2053086 w 2053086"/>
                            <a:gd name="connsiteY0" fmla="*/ 0 h 918713"/>
                            <a:gd name="connsiteX1" fmla="*/ 2040147 w 2053086"/>
                            <a:gd name="connsiteY1" fmla="*/ 875581 h 918713"/>
                            <a:gd name="connsiteX2" fmla="*/ 12939 w 2053086"/>
                            <a:gd name="connsiteY2" fmla="*/ 918713 h 918713"/>
                            <a:gd name="connsiteX3" fmla="*/ 0 w 2053086"/>
                            <a:gd name="connsiteY3" fmla="*/ 69011 h 918713"/>
                            <a:gd name="connsiteX4" fmla="*/ 2053086 w 2053086"/>
                            <a:gd name="connsiteY4" fmla="*/ 0 h 9187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53086" h="918713">
                              <a:moveTo>
                                <a:pt x="2053086" y="0"/>
                              </a:moveTo>
                              <a:lnTo>
                                <a:pt x="2040147" y="875581"/>
                              </a:lnTo>
                              <a:lnTo>
                                <a:pt x="12939" y="918713"/>
                              </a:lnTo>
                              <a:lnTo>
                                <a:pt x="0" y="69011"/>
                              </a:lnTo>
                              <a:lnTo>
                                <a:pt x="2053086"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20.4pt;margin-top:140.45pt;height:72.35pt;width:161.65pt;z-index:251666432;v-text-anchor:middle;mso-width-relative:page;mso-height-relative:page;" filled="f" stroked="t" coordsize="2053086,918713" o:gfxdata="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" path="m2053086,0l2040147,875581,12939,918713,0,69011,2053086,0xe">
                <v:path o:connectlocs="2053086,0;2040147,875581;12939,918713;0,69011;2053086,0" o:connectangles="0,0,0,0,0"/>
                <v:fill on="f" focussize="0,0"/>
                <v:stroke weight="2pt" color="#FFFF00 [3204]" joinstyle="round"/>
                <v:imagedata o:title=""/>
                <o:lock v:ext="edit" aspectratio="f"/>
              </v:shape>
            </w:pict>
          </mc:Fallback>
        </mc:AlternateContent>
      </w:r>
      <w:r>
        <w:rPr>
          <w:lang w:bidi="mn-Mong-CN"/>
        </w:rPr>
        <w:drawing>
          <wp:inline distT="0" distB="0" distL="0" distR="0">
            <wp:extent cx="7355840" cy="5160010"/>
            <wp:effectExtent l="19050" t="19050" r="16510" b="215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2"/>
                    <a:stretch>
                      <a:fillRect/>
                    </a:stretch>
                  </pic:blipFill>
                  <pic:spPr>
                    <a:xfrm>
                      <a:off x="0" y="0"/>
                      <a:ext cx="7360170" cy="5163193"/>
                    </a:xfrm>
                    <a:prstGeom prst="rect">
                      <a:avLst/>
                    </a:prstGeom>
                    <a:ln>
                      <a:solidFill>
                        <a:schemeClr val="tx1"/>
                      </a:solidFill>
                    </a:ln>
                  </pic:spPr>
                </pic:pic>
              </a:graphicData>
            </a:graphic>
          </wp:inline>
        </w:drawing>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r>
        <w:rPr>
          <w:rFonts w:eastAsia="仿宋"/>
          <w:b/>
          <w:color w:val="000000"/>
          <w:sz w:val="28"/>
          <w:szCs w:val="28"/>
        </w:rPr>
        <w:t>附图2  四邻关系图</w:t>
      </w:r>
    </w:p>
    <w:p>
      <w:pPr>
        <w:jc w:val="center"/>
        <w:rPr>
          <w:lang w:bidi="mn-Mong-CN"/>
        </w:rPr>
      </w:pPr>
      <w:r>
        <w:rPr>
          <w:lang w:bidi="mn-Mong-CN"/>
        </w:rPr>
        <w:pict>
          <v:shape id="_x0000_i1033" o:spt="75" type="#_x0000_t75" style="height:408.9pt;width:580.6pt;" filled="f" o:preferrelative="t" stroked="f" coordsize="21600,21600">
            <v:path/>
            <v:fill on="f" focussize="0,0"/>
            <v:stroke on="f" joinstyle="miter"/>
            <v:imagedata r:id="rId43" o:title="鑫康平面"/>
            <o:lock v:ext="edit" aspectratio="t"/>
            <w10:wrap type="none"/>
            <w10:anchorlock/>
          </v:shape>
        </w:pict>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r>
        <w:rPr>
          <w:rFonts w:eastAsia="仿宋"/>
          <w:b/>
          <w:color w:val="000000"/>
          <w:sz w:val="28"/>
          <w:szCs w:val="28"/>
        </w:rPr>
        <w:t>附图3  平面布置图</w:t>
      </w:r>
    </w:p>
    <w:p>
      <w:pPr>
        <w:jc w:val="center"/>
        <w:rPr>
          <w:lang w:bidi="mn-Mong-CN"/>
        </w:rPr>
      </w:pPr>
      <w:r>
        <w:rPr>
          <w:lang w:bidi="mn-Mong-CN"/>
        </w:rPr>
        <mc:AlternateContent>
          <mc:Choice Requires="wps">
            <w:drawing>
              <wp:anchor distT="0" distB="0" distL="114300" distR="114300" simplePos="0" relativeHeight="251673600" behindDoc="0" locked="0" layoutInCell="1" allowOverlap="1">
                <wp:simplePos x="0" y="0"/>
                <wp:positionH relativeFrom="column">
                  <wp:posOffset>4338955</wp:posOffset>
                </wp:positionH>
                <wp:positionV relativeFrom="paragraph">
                  <wp:posOffset>2679065</wp:posOffset>
                </wp:positionV>
                <wp:extent cx="735965" cy="394335"/>
                <wp:effectExtent l="0" t="0" r="26035" b="234315"/>
                <wp:wrapNone/>
                <wp:docPr id="24" name="圆角矩形标注 24"/>
                <wp:cNvGraphicFramePr/>
                <a:graphic xmlns:a="http://schemas.openxmlformats.org/drawingml/2006/main">
                  <a:graphicData uri="http://schemas.microsoft.com/office/word/2010/wordprocessingShape">
                    <wps:wsp>
                      <wps:cNvSpPr/>
                      <wps:spPr>
                        <a:xfrm>
                          <a:off x="0" y="0"/>
                          <a:ext cx="735965" cy="394396"/>
                        </a:xfrm>
                        <a:prstGeom prst="wedgeRoundRectCallout">
                          <a:avLst>
                            <a:gd name="adj1" fmla="val -47349"/>
                            <a:gd name="adj2" fmla="val 99765"/>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41.65pt;margin-top:210.95pt;height:31.05pt;width:57.95pt;z-index:251673600;v-text-anchor:middle;mso-width-relative:page;mso-height-relative:page;" fillcolor="#FFFFFF [3212]" filled="t" stroked="t" coordsize="21600,21600" o:gfxdata="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QeQtNgAAAALAQAADwAAAAAA&#10;AAABACAAAAAiAAAAZHJzL2Rvd25yZXYueG1sUEsBAhQAFAAAAAgAh07iQBYUp1q+AgAAfAUAAA4A&#10;AAAAAAAAAQAgAAAAJwEAAGRycy9lMm9Eb2MueG1sUEsFBgAAAAAGAAYAWQEAAFcGAAAAAA==&#10;" adj="573,32349,14400">
                <v:fill on="t" focussize="0,0"/>
                <v:stroke weight="2pt" color="#FF0000 [3204]" joinstyle="round"/>
                <v:imagedata o:title=""/>
                <o:lock v:ext="edit" aspectratio="f"/>
                <v:textbo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w:t>
                      </w:r>
                    </w:p>
                  </w:txbxContent>
                </v:textbox>
              </v:shape>
            </w:pict>
          </mc:Fallback>
        </mc:AlternateContent>
      </w:r>
      <w:r>
        <w:rPr>
          <w:lang w:bidi="mn-Mong-CN"/>
        </w:rPr>
        <mc:AlternateContent>
          <mc:Choice Requires="wps">
            <w:drawing>
              <wp:anchor distT="0" distB="0" distL="114300" distR="114300" simplePos="0" relativeHeight="251672576" behindDoc="0" locked="0" layoutInCell="1" allowOverlap="1">
                <wp:simplePos x="0" y="0"/>
                <wp:positionH relativeFrom="column">
                  <wp:posOffset>4251325</wp:posOffset>
                </wp:positionH>
                <wp:positionV relativeFrom="paragraph">
                  <wp:posOffset>3274695</wp:posOffset>
                </wp:positionV>
                <wp:extent cx="90170" cy="88265"/>
                <wp:effectExtent l="19050" t="38100" r="43815" b="45720"/>
                <wp:wrapNone/>
                <wp:docPr id="23" name="五角星 23"/>
                <wp:cNvGraphicFramePr/>
                <a:graphic xmlns:a="http://schemas.openxmlformats.org/drawingml/2006/main">
                  <a:graphicData uri="http://schemas.microsoft.com/office/word/2010/wordprocessingShape">
                    <wps:wsp>
                      <wps:cNvSpPr/>
                      <wps:spPr>
                        <a:xfrm>
                          <a:off x="0" y="0"/>
                          <a:ext cx="89941" cy="88130"/>
                        </a:xfrm>
                        <a:prstGeom prst="star5">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34.75pt;margin-top:257.85pt;height:6.95pt;width:7.1pt;z-index:251672576;v-text-anchor:middle;mso-width-relative:page;mso-height-relative:page;" fillcolor="#C0504D [3205]" filled="t" stroked="t" coordsize="89941,88130" o:gfxdata="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7x3LPXAAAACwEAAA8AAAAAAAAAAQAgAAAAIgAAAGRycy9kb3ducmV2&#10;LnhtbFBLAQIUABQAAAAIAIdO4kCK7HakbwIAAOAEAAAOAAAAAAAAAAEAIAAAACYBAABkcnMvZTJv&#10;RG9jLnhtbFBLBQYAAAAABgAGAFkBAAAHBgAAAAA=&#10;" path="m0,33662l34354,33662,44970,0,55586,33662,89940,33662,62147,54467,72763,88129,44970,67324,17177,88129,27793,54467xe">
                <v:path o:connectlocs="44970,0;0,33662;17177,88129;72763,88129;89940,33662" o:connectangles="247,164,82,82,0"/>
                <v:fill on="t" focussize="0,0"/>
                <v:stroke weight="2pt" color="#FF0000 [3204]" joinstyle="round"/>
                <v:imagedata o:title=""/>
                <o:lock v:ext="edit" aspectratio="f"/>
              </v:shape>
            </w:pict>
          </mc:Fallback>
        </mc:AlternateContent>
      </w:r>
      <w:r>
        <w:rPr>
          <w:lang w:bidi="mn-Mong-CN"/>
        </w:rPr>
        <w:drawing>
          <wp:inline distT="0" distB="0" distL="114300" distR="114300">
            <wp:extent cx="7557135" cy="5303520"/>
            <wp:effectExtent l="0" t="0" r="5715" b="0"/>
            <wp:docPr id="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
                    <pic:cNvPicPr>
                      <a:picLocks noChangeAspect="1"/>
                    </pic:cNvPicPr>
                  </pic:nvPicPr>
                  <pic:blipFill>
                    <a:blip r:embed="rId44"/>
                    <a:stretch>
                      <a:fillRect/>
                    </a:stretch>
                  </pic:blipFill>
                  <pic:spPr>
                    <a:xfrm>
                      <a:off x="0" y="0"/>
                      <a:ext cx="7557976" cy="5304091"/>
                    </a:xfrm>
                    <a:prstGeom prst="rect">
                      <a:avLst/>
                    </a:prstGeom>
                    <a:noFill/>
                    <a:ln>
                      <a:noFill/>
                    </a:ln>
                  </pic:spPr>
                </pic:pic>
              </a:graphicData>
            </a:graphic>
          </wp:inline>
        </w:drawing>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r>
        <w:rPr>
          <w:rFonts w:eastAsia="仿宋"/>
          <w:b/>
          <w:color w:val="000000"/>
          <w:sz w:val="28"/>
          <w:szCs w:val="28"/>
        </w:rPr>
        <w:t>附图4  定襄县生态功能区划图</w:t>
      </w:r>
    </w:p>
    <w:p>
      <w:pPr>
        <w:jc w:val="center"/>
        <w:rPr>
          <w:lang w:bidi="mn-Mong-CN"/>
        </w:rPr>
      </w:pPr>
      <w:r>
        <w:rPr>
          <w:lang w:bidi="mn-Mong-CN"/>
        </w:rPr>
        <mc:AlternateContent>
          <mc:Choice Requires="wps">
            <w:drawing>
              <wp:anchor distT="0" distB="0" distL="114300" distR="114300" simplePos="0" relativeHeight="251675648" behindDoc="0" locked="0" layoutInCell="1" allowOverlap="1">
                <wp:simplePos x="0" y="0"/>
                <wp:positionH relativeFrom="column">
                  <wp:posOffset>4066540</wp:posOffset>
                </wp:positionH>
                <wp:positionV relativeFrom="paragraph">
                  <wp:posOffset>2778125</wp:posOffset>
                </wp:positionV>
                <wp:extent cx="735965" cy="394335"/>
                <wp:effectExtent l="0" t="0" r="26035" b="234315"/>
                <wp:wrapNone/>
                <wp:docPr id="26" name="圆角矩形标注 26"/>
                <wp:cNvGraphicFramePr/>
                <a:graphic xmlns:a="http://schemas.openxmlformats.org/drawingml/2006/main">
                  <a:graphicData uri="http://schemas.microsoft.com/office/word/2010/wordprocessingShape">
                    <wps:wsp>
                      <wps:cNvSpPr/>
                      <wps:spPr>
                        <a:xfrm>
                          <a:off x="0" y="0"/>
                          <a:ext cx="735965" cy="394335"/>
                        </a:xfrm>
                        <a:prstGeom prst="wedgeRoundRectCallout">
                          <a:avLst>
                            <a:gd name="adj1" fmla="val -47349"/>
                            <a:gd name="adj2" fmla="val 99765"/>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0.2pt;margin-top:218.75pt;height:31.05pt;width:57.95pt;z-index:251675648;v-text-anchor:middle;mso-width-relative:page;mso-height-relative:page;" fillcolor="#FFFFFF [3212]" filled="t" stroked="t" coordsize="21600,21600" o:gfxdata="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mtAuLNgAAAALAQAADwAAAAAA&#10;AAABACAAAAAiAAAAZHJzL2Rvd25yZXYueG1sUEsBAhQAFAAAAAgAh07iQHQ8uhe+AgAAfAUAAA4A&#10;AAAAAAAAAQAgAAAAJwEAAGRycy9lMm9Eb2MueG1sUEsFBgAAAAAGAAYAWQEAAFcGAAAAAA==&#10;" adj="573,32349,14400">
                <v:fill on="t" focussize="0,0"/>
                <v:stroke weight="2pt" color="#FF0000 [3204]" joinstyle="round"/>
                <v:imagedata o:title=""/>
                <o:lock v:ext="edit" aspectratio="f"/>
                <v:textbo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w:t>
                      </w:r>
                    </w:p>
                  </w:txbxContent>
                </v:textbox>
              </v:shape>
            </w:pict>
          </mc:Fallback>
        </mc:AlternateContent>
      </w:r>
      <w:r>
        <w:rPr>
          <w:lang w:bidi="mn-Mong-CN"/>
        </w:rPr>
        <mc:AlternateContent>
          <mc:Choice Requires="wps">
            <w:drawing>
              <wp:anchor distT="0" distB="0" distL="114300" distR="114300" simplePos="0" relativeHeight="251674624" behindDoc="0" locked="0" layoutInCell="1" allowOverlap="1">
                <wp:simplePos x="0" y="0"/>
                <wp:positionH relativeFrom="column">
                  <wp:posOffset>4013835</wp:posOffset>
                </wp:positionH>
                <wp:positionV relativeFrom="paragraph">
                  <wp:posOffset>3374390</wp:posOffset>
                </wp:positionV>
                <wp:extent cx="90170" cy="88265"/>
                <wp:effectExtent l="19050" t="38100" r="43815" b="45720"/>
                <wp:wrapNone/>
                <wp:docPr id="25" name="五角星 25"/>
                <wp:cNvGraphicFramePr/>
                <a:graphic xmlns:a="http://schemas.openxmlformats.org/drawingml/2006/main">
                  <a:graphicData uri="http://schemas.microsoft.com/office/word/2010/wordprocessingShape">
                    <wps:wsp>
                      <wps:cNvSpPr/>
                      <wps:spPr>
                        <a:xfrm>
                          <a:off x="0" y="0"/>
                          <a:ext cx="89941" cy="88130"/>
                        </a:xfrm>
                        <a:prstGeom prst="star5">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6.05pt;margin-top:265.7pt;height:6.95pt;width:7.1pt;z-index:251674624;v-text-anchor:middle;mso-width-relative:page;mso-height-relative:page;" fillcolor="#C0504D [3205]" filled="t" stroked="t" coordsize="89941,88130" o:gfxdata="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QxVWbYAAAACwEAAA8AAAAAAAAAAQAgAAAAIgAAAGRycy9kb3ducmV2&#10;LnhtbFBLAQIUABQAAAAIAIdO4kDJRv4pbgIAAOAEAAAOAAAAAAAAAAEAIAAAACcBAABkcnMvZTJv&#10;RG9jLnhtbFBLBQYAAAAABgAGAFkBAAAHBgAAAAA=&#10;" path="m0,33662l34354,33662,44970,0,55586,33662,89940,33662,62147,54467,72763,88129,44970,67324,17177,88129,27793,54467xe">
                <v:path o:connectlocs="44970,0;0,33662;17177,88129;72763,88129;89940,33662" o:connectangles="247,164,82,82,0"/>
                <v:fill on="t" focussize="0,0"/>
                <v:stroke weight="2pt" color="#FF0000 [3204]" joinstyle="round"/>
                <v:imagedata o:title=""/>
                <o:lock v:ext="edit" aspectratio="f"/>
              </v:shape>
            </w:pict>
          </mc:Fallback>
        </mc:AlternateContent>
      </w:r>
      <w:r>
        <w:rPr>
          <w:lang w:bidi="mn-Mong-CN"/>
        </w:rPr>
        <w:drawing>
          <wp:inline distT="0" distB="0" distL="114300" distR="114300">
            <wp:extent cx="7567295" cy="5357495"/>
            <wp:effectExtent l="0" t="0" r="0" b="0"/>
            <wp:docPr id="1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
                    <pic:cNvPicPr>
                      <a:picLocks noChangeAspect="1"/>
                    </pic:cNvPicPr>
                  </pic:nvPicPr>
                  <pic:blipFill>
                    <a:blip r:embed="rId45"/>
                    <a:stretch>
                      <a:fillRect/>
                    </a:stretch>
                  </pic:blipFill>
                  <pic:spPr>
                    <a:xfrm>
                      <a:off x="0" y="0"/>
                      <a:ext cx="7568173" cy="5358236"/>
                    </a:xfrm>
                    <a:prstGeom prst="rect">
                      <a:avLst/>
                    </a:prstGeom>
                    <a:noFill/>
                    <a:ln>
                      <a:noFill/>
                    </a:ln>
                  </pic:spPr>
                </pic:pic>
              </a:graphicData>
            </a:graphic>
          </wp:inline>
        </w:drawing>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r>
        <w:rPr>
          <w:rFonts w:eastAsia="仿宋"/>
          <w:b/>
          <w:color w:val="000000"/>
          <w:sz w:val="28"/>
          <w:szCs w:val="28"/>
        </w:rPr>
        <w:t>附图5  定襄县生态经济区划图</w:t>
      </w:r>
    </w:p>
    <w:p>
      <w:pPr>
        <w:jc w:val="center"/>
        <w:rPr>
          <w:lang w:bidi="mn-Mong-CN"/>
        </w:rPr>
      </w:pPr>
      <w:r>
        <w:rPr>
          <w:lang w:bidi="mn-Mong-CN"/>
        </w:rPr>
        <mc:AlternateContent>
          <mc:Choice Requires="wps">
            <w:drawing>
              <wp:anchor distT="0" distB="0" distL="114300" distR="114300" simplePos="0" relativeHeight="251686912" behindDoc="0" locked="0" layoutInCell="1" allowOverlap="1">
                <wp:simplePos x="0" y="0"/>
                <wp:positionH relativeFrom="column">
                  <wp:posOffset>4405630</wp:posOffset>
                </wp:positionH>
                <wp:positionV relativeFrom="paragraph">
                  <wp:posOffset>4250055</wp:posOffset>
                </wp:positionV>
                <wp:extent cx="951865" cy="848360"/>
                <wp:effectExtent l="0" t="0" r="76835" b="66040"/>
                <wp:wrapNone/>
                <wp:docPr id="68" name="直接箭头连接符 68"/>
                <wp:cNvGraphicFramePr/>
                <a:graphic xmlns:a="http://schemas.openxmlformats.org/drawingml/2006/main">
                  <a:graphicData uri="http://schemas.microsoft.com/office/word/2010/wordprocessingShape">
                    <wps:wsp>
                      <wps:cNvCnPr/>
                      <wps:spPr>
                        <a:xfrm>
                          <a:off x="0" y="0"/>
                          <a:ext cx="952107" cy="848413"/>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46.9pt;margin-top:334.65pt;height:66.8pt;width:74.95pt;z-index:251686912;mso-width-relative:page;mso-height-relative:page;" filled="f" stroked="t" coordsize="21600,21600" o:gfxdata="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x+Cj9sAAAALAQAADwAAAAAAAAABACAAAAAiAAAAZHJz&#10;L2Rvd25yZXYueG1sUEsBAhQAFAAAAAgAh07iQPpbg6YBAgAAzgMAAA4AAAAAAAAAAQAgAAAAKgEA&#10;AGRycy9lMm9Eb2MueG1sUEsFBgAAAAAGAAYAWQEAAJ0FAAAAAA==&#10;">
                <v:fill on="f" focussize="0,0"/>
                <v:stroke weight="1.5pt" color="#FF0000 [3204]" joinstyle="round" endarrow="open"/>
                <v:imagedata o:title=""/>
                <o:lock v:ext="edit" aspectratio="f"/>
              </v:shape>
            </w:pict>
          </mc:Fallback>
        </mc:AlternateContent>
      </w:r>
      <w:r>
        <w:rPr>
          <w:lang w:bidi="mn-Mong-CN"/>
        </w:rPr>
        <mc:AlternateContent>
          <mc:Choice Requires="wps">
            <w:drawing>
              <wp:anchor distT="0" distB="0" distL="114300" distR="114300" simplePos="0" relativeHeight="251677696" behindDoc="0" locked="0" layoutInCell="1" allowOverlap="1">
                <wp:simplePos x="0" y="0"/>
                <wp:positionH relativeFrom="column">
                  <wp:posOffset>5353685</wp:posOffset>
                </wp:positionH>
                <wp:positionV relativeFrom="paragraph">
                  <wp:posOffset>4254500</wp:posOffset>
                </wp:positionV>
                <wp:extent cx="819785" cy="611505"/>
                <wp:effectExtent l="0" t="0" r="18415" b="226695"/>
                <wp:wrapNone/>
                <wp:docPr id="28" name="圆角矩形标注 28"/>
                <wp:cNvGraphicFramePr/>
                <a:graphic xmlns:a="http://schemas.openxmlformats.org/drawingml/2006/main">
                  <a:graphicData uri="http://schemas.microsoft.com/office/word/2010/wordprocessingShape">
                    <wps:wsp>
                      <wps:cNvSpPr/>
                      <wps:spPr>
                        <a:xfrm>
                          <a:off x="0" y="0"/>
                          <a:ext cx="819785" cy="611505"/>
                        </a:xfrm>
                        <a:prstGeom prst="wedgeRoundRectCallout">
                          <a:avLst>
                            <a:gd name="adj1" fmla="val -35810"/>
                            <a:gd name="adj2" fmla="val 83265"/>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项目位置距定襄县县城3.1km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21.55pt;margin-top:335pt;height:48.15pt;width:64.55pt;z-index:251677696;v-text-anchor:middle;mso-width-relative:page;mso-height-relative:page;" fillcolor="#FFFFFF [3212]" filled="t" stroked="t" coordsize="21600,21600" o:gfxdata="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ewCp+9kAAAALAQAADwAAAAAA&#10;AAABACAAAAAiAAAAZHJzL2Rvd25yZXYueG1sUEsBAhQAFAAAAAgAh07iQK7OIUO9AgAAfAUAAA4A&#10;AAAAAAAAAQAgAAAAKAEAAGRycy9lMm9Eb2MueG1sUEsFBgAAAAAGAAYAWQEAAFcGAAAAAA==&#10;" adj="3065,28785,14400">
                <v:fill on="t" focussize="0,0"/>
                <v:stroke weight="2pt" color="#FF0000 [3204]" joinstyle="round"/>
                <v:imagedata o:title=""/>
                <o:lock v:ext="edit" aspectratio="f"/>
                <v:textbo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项目位置距定襄县县城3.1km</w:t>
                      </w:r>
                    </w:p>
                  </w:txbxContent>
                </v:textbox>
              </v:shape>
            </w:pict>
          </mc:Fallback>
        </mc:AlternateContent>
      </w:r>
      <w:r>
        <w:rPr>
          <w:lang w:bidi="mn-Mong-CN"/>
        </w:rPr>
        <mc:AlternateContent>
          <mc:Choice Requires="wps">
            <w:drawing>
              <wp:anchor distT="0" distB="0" distL="114300" distR="114300" simplePos="0" relativeHeight="251676672" behindDoc="0" locked="0" layoutInCell="1" allowOverlap="1">
                <wp:simplePos x="0" y="0"/>
                <wp:positionH relativeFrom="column">
                  <wp:posOffset>5362575</wp:posOffset>
                </wp:positionH>
                <wp:positionV relativeFrom="paragraph">
                  <wp:posOffset>5102860</wp:posOffset>
                </wp:positionV>
                <wp:extent cx="89535" cy="87630"/>
                <wp:effectExtent l="19050" t="38100" r="43815" b="45720"/>
                <wp:wrapNone/>
                <wp:docPr id="27" name="五角星 27"/>
                <wp:cNvGraphicFramePr/>
                <a:graphic xmlns:a="http://schemas.openxmlformats.org/drawingml/2006/main">
                  <a:graphicData uri="http://schemas.microsoft.com/office/word/2010/wordprocessingShape">
                    <wps:wsp>
                      <wps:cNvSpPr/>
                      <wps:spPr>
                        <a:xfrm>
                          <a:off x="0" y="0"/>
                          <a:ext cx="89535" cy="87630"/>
                        </a:xfrm>
                        <a:prstGeom prst="star5">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22.25pt;margin-top:401.8pt;height:6.9pt;width:7.05pt;z-index:251676672;v-text-anchor:middle;mso-width-relative:page;mso-height-relative:page;" fillcolor="#C0504D [3205]" filled="t" stroked="t" coordsize="89535,87630" o:gfxdata="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K+3V01wAAAAsBAAAPAAAAAAAAAAEAIAAAACIAAABkcnMvZG93bnJl&#10;di54bWxQSwECFAAUAAAACACHTuJAm9Sz6XACAADgBAAADgAAAAAAAAABACAAAAAmAQAAZHJzL2Uy&#10;b0RvYy54bWxQSwUGAAAAAAYABgBZAQAACAYAAAAA&#10;" path="m0,33471l34199,33471,44767,0,55335,33471,89534,33471,61866,54158,72435,87629,44767,66942,17099,87629,27668,54158xe">
                <v:path o:connectlocs="44767,0;0,33471;17099,87629;72435,87629;89534,33471" o:connectangles="247,164,82,82,0"/>
                <v:fill on="t" focussize="0,0"/>
                <v:stroke weight="2pt" color="#FF0000 [3204]" joinstyle="round"/>
                <v:imagedata o:title=""/>
                <o:lock v:ext="edit" aspectratio="f"/>
              </v:shape>
            </w:pict>
          </mc:Fallback>
        </mc:AlternateContent>
      </w:r>
      <w:r>
        <w:rPr>
          <w:lang w:bidi="mn-Mong-CN"/>
        </w:rPr>
        <w:pict>
          <v:shape id="_x0000_i1034" o:spt="75" type="#_x0000_t75" style="height:416.3pt;width:596.3pt;" filled="f" o:preferrelative="t" stroked="f" coordsize="21600,21600">
            <v:path/>
            <v:fill on="f" focussize="0,0"/>
            <v:stroke on="f" joinstyle="miter"/>
            <v:imagedata r:id="rId46" o:title="定襄规划"/>
            <o:lock v:ext="edit" aspectratio="t"/>
            <w10:wrap type="none"/>
            <w10:anchorlock/>
          </v:shape>
        </w:pict>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r>
        <w:rPr>
          <w:rFonts w:eastAsia="仿宋"/>
          <w:b/>
          <w:color w:val="000000"/>
          <w:sz w:val="28"/>
          <w:szCs w:val="28"/>
        </w:rPr>
        <w:t>附图6  定襄县县城总体规划图</w:t>
      </w:r>
    </w:p>
    <w:p>
      <w:pPr>
        <w:jc w:val="center"/>
        <w:rPr>
          <w:lang w:bidi="mn-Mong-CN"/>
        </w:rPr>
      </w:pPr>
      <w:r>
        <w:rPr>
          <w:lang w:bidi="mn-Mong-CN"/>
        </w:rPr>
        <mc:AlternateContent>
          <mc:Choice Requires="wps">
            <w:drawing>
              <wp:anchor distT="0" distB="0" distL="114300" distR="114300" simplePos="0" relativeHeight="251679744" behindDoc="0" locked="0" layoutInCell="1" allowOverlap="1">
                <wp:simplePos x="0" y="0"/>
                <wp:positionH relativeFrom="column">
                  <wp:posOffset>4537710</wp:posOffset>
                </wp:positionH>
                <wp:positionV relativeFrom="paragraph">
                  <wp:posOffset>2627630</wp:posOffset>
                </wp:positionV>
                <wp:extent cx="819785" cy="611505"/>
                <wp:effectExtent l="190500" t="0" r="18415" b="36195"/>
                <wp:wrapNone/>
                <wp:docPr id="30" name="圆角矩形标注 30"/>
                <wp:cNvGraphicFramePr/>
                <a:graphic xmlns:a="http://schemas.openxmlformats.org/drawingml/2006/main">
                  <a:graphicData uri="http://schemas.microsoft.com/office/word/2010/wordprocessingShape">
                    <wps:wsp>
                      <wps:cNvSpPr/>
                      <wps:spPr>
                        <a:xfrm>
                          <a:off x="0" y="0"/>
                          <a:ext cx="819785" cy="611505"/>
                        </a:xfrm>
                        <a:prstGeom prst="wedgeRoundRectCallout">
                          <a:avLst>
                            <a:gd name="adj1" fmla="val -72734"/>
                            <a:gd name="adj2" fmla="val 50265"/>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项目位置距牧马河1.8km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7.3pt;margin-top:206.9pt;height:48.15pt;width:64.55pt;z-index:251679744;v-text-anchor:middle;mso-width-relative:page;mso-height-relative:page;" fillcolor="#FFFFFF [3212]" filled="t" stroked="t" coordsize="21600,21600" o:gfxdata="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IBxNe3aAAAACwEAAA8AAAAA&#10;AAAAAQAgAAAAIgAAAGRycy9kb3ducmV2LnhtbFBLAQIUABQAAAAIAIdO4kDFg7+UvQIAAHwFAAAO&#10;AAAAAAAAAAEAIAAAACkBAABkcnMvZTJvRG9jLnhtbFBLBQYAAAAABgAGAFkBAABYBgAAAAA=&#10;" adj="-4911,21657,14400">
                <v:fill on="t" focussize="0,0"/>
                <v:stroke weight="2pt" color="#FF0000 [3204]" joinstyle="round"/>
                <v:imagedata o:title=""/>
                <o:lock v:ext="edit" aspectratio="f"/>
                <v:textbo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项目位置距牧马河1.8km</w:t>
                      </w:r>
                    </w:p>
                  </w:txbxContent>
                </v:textbox>
              </v:shape>
            </w:pict>
          </mc:Fallback>
        </mc:AlternateContent>
      </w:r>
      <w:r>
        <w:rPr>
          <w:lang w:bidi="mn-Mong-CN"/>
        </w:rPr>
        <mc:AlternateContent>
          <mc:Choice Requires="wps">
            <w:drawing>
              <wp:anchor distT="0" distB="0" distL="114300" distR="114300" simplePos="0" relativeHeight="251678720" behindDoc="0" locked="0" layoutInCell="1" allowOverlap="1">
                <wp:simplePos x="0" y="0"/>
                <wp:positionH relativeFrom="column">
                  <wp:posOffset>4269105</wp:posOffset>
                </wp:positionH>
                <wp:positionV relativeFrom="paragraph">
                  <wp:posOffset>3251200</wp:posOffset>
                </wp:positionV>
                <wp:extent cx="89535" cy="87630"/>
                <wp:effectExtent l="19050" t="38100" r="43815" b="45720"/>
                <wp:wrapNone/>
                <wp:docPr id="29" name="五角星 29"/>
                <wp:cNvGraphicFramePr/>
                <a:graphic xmlns:a="http://schemas.openxmlformats.org/drawingml/2006/main">
                  <a:graphicData uri="http://schemas.microsoft.com/office/word/2010/wordprocessingShape">
                    <wps:wsp>
                      <wps:cNvSpPr/>
                      <wps:spPr>
                        <a:xfrm>
                          <a:off x="0" y="0"/>
                          <a:ext cx="89535" cy="87630"/>
                        </a:xfrm>
                        <a:prstGeom prst="star5">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36.15pt;margin-top:256pt;height:6.9pt;width:7.05pt;z-index:251678720;v-text-anchor:middle;mso-width-relative:page;mso-height-relative:page;" fillcolor="#C0504D [3205]" filled="t" stroked="t" coordsize="89535,87630" o:gfxdata="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OaFs41wAAAAsBAAAPAAAAAAAAAAEAIAAAACIAAABkcnMvZG93bnJl&#10;di54bWxQSwECFAAUAAAACACHTuJAoh175HACAADgBAAADgAAAAAAAAABACAAAAAmAQAAZHJzL2Uy&#10;b0RvYy54bWxQSwUGAAAAAAYABgBZAQAACAYAAAAA&#10;" path="m0,33471l34199,33471,44767,0,55335,33471,89534,33471,61866,54158,72435,87629,44767,66942,17099,87629,27668,54158xe">
                <v:path o:connectlocs="44767,0;0,33471;17099,87629;72435,87629;89534,33471" o:connectangles="247,164,82,82,0"/>
                <v:fill on="t" focussize="0,0"/>
                <v:stroke weight="2pt" color="#FF0000 [3204]" joinstyle="round"/>
                <v:imagedata o:title=""/>
                <o:lock v:ext="edit" aspectratio="f"/>
              </v:shape>
            </w:pict>
          </mc:Fallback>
        </mc:AlternateContent>
      </w:r>
      <w:r>
        <w:rPr>
          <w:lang w:bidi="mn-Mong-CN"/>
        </w:rPr>
        <w:pict>
          <v:shape id="_x0000_i1035" o:spt="75" type="#_x0000_t75" style="height:419.1pt;width:601.85pt;" filled="f" o:preferrelative="t" stroked="f" coordsize="21600,21600">
            <v:path/>
            <v:fill on="f" focussize="0,0"/>
            <v:stroke on="f" joinstyle="miter"/>
            <v:imagedata r:id="rId47" o:title="定襄水系"/>
            <o:lock v:ext="edit" aspectratio="t"/>
            <w10:wrap type="none"/>
            <w10:anchorlock/>
          </v:shape>
        </w:pict>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r>
        <w:rPr>
          <w:rFonts w:eastAsia="仿宋"/>
          <w:b/>
          <w:color w:val="000000"/>
          <w:sz w:val="28"/>
          <w:szCs w:val="28"/>
        </w:rPr>
        <w:t>附图7  定襄县地表水系图</w:t>
      </w:r>
    </w:p>
    <w:p>
      <w:pPr>
        <w:rPr>
          <w:lang w:bidi="mn-Mong-CN"/>
        </w:rPr>
      </w:pPr>
      <w:r>
        <w:rPr>
          <w:lang w:bidi="mn-Mong-CN"/>
        </w:rPr>
        <mc:AlternateContent>
          <mc:Choice Requires="wps">
            <w:drawing>
              <wp:anchor distT="0" distB="0" distL="114300" distR="114300" simplePos="0" relativeHeight="251680768" behindDoc="0" locked="0" layoutInCell="1" allowOverlap="1">
                <wp:simplePos x="0" y="0"/>
                <wp:positionH relativeFrom="column">
                  <wp:posOffset>7369175</wp:posOffset>
                </wp:positionH>
                <wp:positionV relativeFrom="paragraph">
                  <wp:posOffset>-160655</wp:posOffset>
                </wp:positionV>
                <wp:extent cx="180975" cy="197485"/>
                <wp:effectExtent l="19050" t="38100" r="47625" b="31115"/>
                <wp:wrapNone/>
                <wp:docPr id="31" name="五角星 31"/>
                <wp:cNvGraphicFramePr/>
                <a:graphic xmlns:a="http://schemas.openxmlformats.org/drawingml/2006/main">
                  <a:graphicData uri="http://schemas.microsoft.com/office/word/2010/wordprocessingShape">
                    <wps:wsp>
                      <wps:cNvSpPr/>
                      <wps:spPr>
                        <a:xfrm>
                          <a:off x="0" y="0"/>
                          <a:ext cx="180975" cy="19748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80.25pt;margin-top:-12.65pt;height:15.55pt;width:14.25pt;z-index:251680768;v-text-anchor:middle;mso-width-relative:page;mso-height-relative:page;" fillcolor="#FF0000" filled="t" stroked="t" coordsize="180975,197485" o:gfxdata="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i7cFAdsAAAALAQAADwAAAAAAAAABACAAAAAiAAAAZHJzL2Rvd25yZXYueG1s&#10;UEsBAhQAFAAAAAgAh07iQK9IJANnAgAA4gQAAA4AAAAAAAAAAQAgAAAAKgEAAGRycy9lMm9Eb2Mu&#10;eG1sUEsFBgAAAAAGAAYAWQEAAAMGAAAAAA==&#10;" path="m0,75432l69126,75432,90487,0,111848,75432,180974,75432,125050,122051,146411,197484,90487,150864,34563,197484,55924,122051xe">
                <v:path o:connectlocs="90487,0;0,75432;34563,197484;146411,197484;180974,75432" o:connectangles="247,164,82,82,0"/>
                <v:fill on="t" focussize="0,0"/>
                <v:stroke weight="2pt" color="#FF0000 [3204]" joinstyle="round"/>
                <v:imagedata o:title=""/>
                <o:lock v:ext="edit" aspectratio="f"/>
              </v:shape>
            </w:pict>
          </mc:Fallback>
        </mc:AlternateContent>
      </w:r>
      <w:r>
        <w:rPr>
          <w:lang w:bidi="mn-Mong-CN"/>
        </w:rPr>
        <mc:AlternateContent>
          <mc:Choice Requires="wps">
            <w:drawing>
              <wp:anchor distT="0" distB="0" distL="114300" distR="114300" simplePos="0" relativeHeight="251687936" behindDoc="0" locked="0" layoutInCell="1" allowOverlap="1">
                <wp:simplePos x="0" y="0"/>
                <wp:positionH relativeFrom="column">
                  <wp:posOffset>4863465</wp:posOffset>
                </wp:positionH>
                <wp:positionV relativeFrom="paragraph">
                  <wp:posOffset>-2540</wp:posOffset>
                </wp:positionV>
                <wp:extent cx="2506345" cy="2796540"/>
                <wp:effectExtent l="19050" t="38100" r="46355" b="22860"/>
                <wp:wrapNone/>
                <wp:docPr id="71" name="直接箭头连接符 71"/>
                <wp:cNvGraphicFramePr/>
                <a:graphic xmlns:a="http://schemas.openxmlformats.org/drawingml/2006/main">
                  <a:graphicData uri="http://schemas.microsoft.com/office/word/2010/wordprocessingShape">
                    <wps:wsp>
                      <wps:cNvCnPr/>
                      <wps:spPr>
                        <a:xfrm flipV="1">
                          <a:off x="0" y="0"/>
                          <a:ext cx="2506345" cy="279654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82.95pt;margin-top:-0.2pt;height:220.2pt;width:197.35pt;z-index:251687936;mso-width-relative:page;mso-height-relative:page;" filled="f" stroked="t" coordsize="21600,21600" o:gfxdata="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8LOWodsAAAAKAQAADwAAAAAAAAABACAA&#10;AAAiAAAAZHJzL2Rvd25yZXYueG1sUEsBAhQAFAAAAAgAh07iQCfHeEUKAgAA2gMAAA4AAAAAAAAA&#10;AQAgAAAAKgEAAGRycy9lMm9Eb2MueG1sUEsFBgAAAAAGAAYAWQEAAKYFAAAAAA==&#10;">
                <v:fill on="f" focussize="0,0"/>
                <v:stroke weight="2.25pt" color="#FF0000 [3204]" joinstyle="round" endarrow="open"/>
                <v:imagedata o:title=""/>
                <o:lock v:ext="edit" aspectratio="f"/>
              </v:shape>
            </w:pict>
          </mc:Fallback>
        </mc:AlternateContent>
      </w:r>
    </w:p>
    <w:p>
      <w:pPr>
        <w:jc w:val="center"/>
        <w:rPr>
          <w:lang w:bidi="mn-Mong-CN"/>
        </w:rPr>
      </w:pPr>
      <w:r>
        <w:rPr>
          <w:lang w:bidi="mn-Mong-CN"/>
        </w:rPr>
        <mc:AlternateContent>
          <mc:Choice Requires="wps">
            <w:drawing>
              <wp:anchor distT="0" distB="0" distL="114300" distR="114300" simplePos="0" relativeHeight="251681792" behindDoc="0" locked="0" layoutInCell="1" allowOverlap="1">
                <wp:simplePos x="0" y="0"/>
                <wp:positionH relativeFrom="column">
                  <wp:posOffset>7518400</wp:posOffset>
                </wp:positionH>
                <wp:positionV relativeFrom="paragraph">
                  <wp:posOffset>91440</wp:posOffset>
                </wp:positionV>
                <wp:extent cx="1214120" cy="611505"/>
                <wp:effectExtent l="0" t="190500" r="24765" b="17145"/>
                <wp:wrapNone/>
                <wp:docPr id="64" name="圆角矩形标注 64"/>
                <wp:cNvGraphicFramePr/>
                <a:graphic xmlns:a="http://schemas.openxmlformats.org/drawingml/2006/main">
                  <a:graphicData uri="http://schemas.microsoft.com/office/word/2010/wordprocessingShape">
                    <wps:wsp>
                      <wps:cNvSpPr/>
                      <wps:spPr>
                        <a:xfrm>
                          <a:off x="0" y="0"/>
                          <a:ext cx="1213835" cy="611505"/>
                        </a:xfrm>
                        <a:prstGeom prst="wedgeRoundRectCallout">
                          <a:avLst>
                            <a:gd name="adj1" fmla="val -44385"/>
                            <a:gd name="adj2" fmla="val -78643"/>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项目位置距南王乡集中供水水源一级保护区边界3.5km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592pt;margin-top:7.2pt;height:48.15pt;width:95.6pt;z-index:251681792;v-text-anchor:middle;mso-width-relative:page;mso-height-relative:page;" fillcolor="#FFFFFF [3212]" filled="t" stroked="t" coordsize="21600,21600" o:gfxdata="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dg+ci2wAAAAwBAAAP&#10;AAAAAAAAAAEAIAAAACIAAABkcnMvZG93bnJldi54bWxQSwECFAAUAAAACACHTuJAdnI8PMACAAB+&#10;BQAADgAAAAAAAAABACAAAAAqAQAAZHJzL2Uyb0RvYy54bWxQSwUGAAAAAAYABgBZAQAAXAYAAAAA&#10;" adj="1213,-6187,14400">
                <v:fill on="t" focussize="0,0"/>
                <v:stroke weight="2pt" color="#FF0000 [3204]" joinstyle="round"/>
                <v:imagedata o:title=""/>
                <o:lock v:ext="edit" aspectratio="f"/>
                <v:textbox>
                  <w:txbxContent>
                    <w:p>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项目位置距南王乡集中供水水源一级保护区边界3.5km</w:t>
                      </w:r>
                    </w:p>
                  </w:txbxContent>
                </v:textbox>
              </v:shape>
            </w:pict>
          </mc:Fallback>
        </mc:AlternateContent>
      </w:r>
      <w:r>
        <w:rPr>
          <w:lang w:bidi="mn-Mong-CN"/>
        </w:rPr>
        <w:pict>
          <v:shape id="_x0000_i1036" o:spt="75" type="#_x0000_t75" style="height:408pt;width:627.7pt;" filled="f" o:preferrelative="t" stroked="f" coordsize="21600,21600">
            <v:path/>
            <v:fill on="f" focussize="0,0"/>
            <v:stroke on="f" joinstyle="miter"/>
            <v:imagedata r:id="rId48" o:title="定襄县南王乡集中供水水源地"/>
            <o:lock v:ext="edit" aspectratio="t"/>
            <w10:wrap type="none"/>
            <w10:anchorlock/>
          </v:shape>
        </w:pict>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r>
        <w:rPr>
          <w:rFonts w:eastAsia="仿宋"/>
          <w:b/>
          <w:color w:val="000000"/>
          <w:sz w:val="28"/>
          <w:szCs w:val="28"/>
        </w:rPr>
        <w:t>附图8  南王乡集中供水水源地图</w:t>
      </w:r>
    </w:p>
    <w:p>
      <w:pPr>
        <w:jc w:val="center"/>
        <w:rPr>
          <w:rFonts w:eastAsia="仿宋"/>
          <w:b/>
          <w:color w:val="000000"/>
          <w:sz w:val="28"/>
          <w:szCs w:val="28"/>
        </w:rPr>
      </w:pPr>
      <w:r>
        <w:rPr>
          <w:lang w:bidi="mn-Mong-CN"/>
        </w:rPr>
        <mc:AlternateContent>
          <mc:Choice Requires="wps">
            <w:drawing>
              <wp:anchor distT="0" distB="0" distL="114300" distR="114300" simplePos="0" relativeHeight="251689984" behindDoc="0" locked="0" layoutInCell="1" allowOverlap="1">
                <wp:simplePos x="0" y="0"/>
                <wp:positionH relativeFrom="column">
                  <wp:posOffset>5912485</wp:posOffset>
                </wp:positionH>
                <wp:positionV relativeFrom="paragraph">
                  <wp:posOffset>3471545</wp:posOffset>
                </wp:positionV>
                <wp:extent cx="1028065" cy="530860"/>
                <wp:effectExtent l="781050" t="0" r="19685" b="21590"/>
                <wp:wrapNone/>
                <wp:docPr id="82" name="圆角矩形标注 82"/>
                <wp:cNvGraphicFramePr/>
                <a:graphic xmlns:a="http://schemas.openxmlformats.org/drawingml/2006/main">
                  <a:graphicData uri="http://schemas.microsoft.com/office/word/2010/wordprocessingShape">
                    <wps:wsp>
                      <wps:cNvSpPr/>
                      <wps:spPr>
                        <a:xfrm>
                          <a:off x="0" y="0"/>
                          <a:ext cx="1028065" cy="530860"/>
                        </a:xfrm>
                        <a:prstGeom prst="wedgeRoundRectCallout">
                          <a:avLst>
                            <a:gd name="adj1" fmla="val -124615"/>
                            <a:gd name="adj2" fmla="val 22186"/>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65.55pt;margin-top:273.35pt;height:41.8pt;width:80.95pt;z-index:251689984;v-text-anchor:middle;mso-width-relative:page;mso-height-relative:page;" fillcolor="#FFFFFF [3212]" filled="t" stroked="t" coordsize="21600,21600" o:gfxdata="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iZF33NkAAAAMAQAADwAAAAAA&#10;AAABACAAAAAiAAAAZHJzL2Rvd25yZXYueG1sUEsBAhQAFAAAAAgAh07iQLra1E69AgAAfgUAAA4A&#10;AAAAAAAAAQAgAAAAKAEAAGRycy9lMm9Eb2MueG1sUEsFBgAAAAAGAAYAWQEAAFcGAAAAAA==&#10;" adj="-16117,15592,14400">
                <v:fill on="t" focussize="0,0"/>
                <v:stroke weight="2pt" color="#FF0000 [3204]" joinstyle="round"/>
                <v:imagedata o:title=""/>
                <o:lock v:ext="edit" aspectratio="f"/>
                <v:textbox>
                  <w:txbxContent>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项目位置</w:t>
                      </w:r>
                    </w:p>
                  </w:txbxContent>
                </v:textbox>
              </v:shape>
            </w:pict>
          </mc:Fallback>
        </mc:AlternateContent>
      </w:r>
      <w:r>
        <w:rPr>
          <w:lang w:bidi="mn-Mong-CN"/>
        </w:rPr>
        <mc:AlternateContent>
          <mc:Choice Requires="wps">
            <w:drawing>
              <wp:anchor distT="0" distB="0" distL="114300" distR="114300" simplePos="0" relativeHeight="251688960" behindDoc="0" locked="0" layoutInCell="1" allowOverlap="1">
                <wp:simplePos x="0" y="0"/>
                <wp:positionH relativeFrom="column">
                  <wp:posOffset>5016500</wp:posOffset>
                </wp:positionH>
                <wp:positionV relativeFrom="paragraph">
                  <wp:posOffset>3783965</wp:posOffset>
                </wp:positionV>
                <wp:extent cx="75565" cy="71755"/>
                <wp:effectExtent l="19050" t="38100" r="38735" b="42545"/>
                <wp:wrapNone/>
                <wp:docPr id="79" name="五角星 79"/>
                <wp:cNvGraphicFramePr/>
                <a:graphic xmlns:a="http://schemas.openxmlformats.org/drawingml/2006/main">
                  <a:graphicData uri="http://schemas.microsoft.com/office/word/2010/wordprocessingShape">
                    <wps:wsp>
                      <wps:cNvSpPr/>
                      <wps:spPr>
                        <a:xfrm>
                          <a:off x="0" y="0"/>
                          <a:ext cx="75805" cy="71953"/>
                        </a:xfrm>
                        <a:prstGeom prst="star5">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95pt;margin-top:297.95pt;height:5.65pt;width:5.95pt;z-index:251688960;v-text-anchor:middle;mso-width-relative:page;mso-height-relative:page;" fillcolor="#0070C0" filled="t" stroked="t" coordsize="75805,71953" o:gfxdata="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WpHEsNoAAAALAQAADwAAAAAAAAABACAAAAAiAAAAZHJzL2Rvd25yZXYueG1s&#10;UEsBAhQAFAAAAAgAh07iQCD4iWloAgAA4AQAAA4AAAAAAAAAAQAgAAAAKQEAAGRycy9lMm9Eb2Mu&#10;eG1sUEsFBgAAAAAGAAYAWQEAAAMGAAAAAA==&#10;" path="m0,27483l28955,27483,37902,0,46849,27483,75804,27483,52379,44469,61327,71952,37902,54966,14477,71952,23425,44469xe">
                <v:path o:connectlocs="37902,0;0,27483;14477,71952;61327,71952;75804,27483" o:connectangles="247,164,82,82,0"/>
                <v:fill on="t" focussize="0,0"/>
                <v:stroke weight="2pt" color="#0070C0 [3204]" joinstyle="round"/>
                <v:imagedata o:title=""/>
                <o:lock v:ext="edit" aspectratio="f"/>
              </v:shape>
            </w:pict>
          </mc:Fallback>
        </mc:AlternateContent>
      </w:r>
      <w:r>
        <w:rPr>
          <w:lang w:bidi="mn-Mong-CN"/>
        </w:rPr>
        <w:drawing>
          <wp:inline distT="0" distB="0" distL="0" distR="0">
            <wp:extent cx="8239760" cy="5126355"/>
            <wp:effectExtent l="0" t="0" r="889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49"/>
                    <a:srcRect l="1724" t="1495"/>
                    <a:stretch>
                      <a:fillRect/>
                    </a:stretch>
                  </pic:blipFill>
                  <pic:spPr>
                    <a:xfrm>
                      <a:off x="0" y="0"/>
                      <a:ext cx="8240110" cy="5126675"/>
                    </a:xfrm>
                    <a:prstGeom prst="rect">
                      <a:avLst/>
                    </a:prstGeom>
                    <a:ln>
                      <a:noFill/>
                    </a:ln>
                  </pic:spPr>
                </pic:pic>
              </a:graphicData>
            </a:graphic>
          </wp:inline>
        </w:drawing>
      </w:r>
    </w:p>
    <w:p>
      <w:pPr>
        <w:jc w:val="center"/>
        <w:rPr>
          <w:rFonts w:eastAsia="仿宋"/>
          <w:b/>
          <w:color w:val="000000"/>
          <w:sz w:val="28"/>
          <w:szCs w:val="28"/>
        </w:rPr>
      </w:pPr>
      <w:r>
        <w:rPr>
          <w:rFonts w:eastAsia="仿宋"/>
          <w:b/>
          <w:color w:val="000000"/>
          <w:sz w:val="28"/>
          <w:szCs w:val="28"/>
        </w:rPr>
        <w:t>附图9  项目与</w:t>
      </w:r>
      <w:r>
        <w:rPr>
          <w:rFonts w:hint="eastAsia" w:eastAsia="仿宋"/>
          <w:b/>
          <w:color w:val="000000"/>
          <w:sz w:val="28"/>
          <w:szCs w:val="28"/>
        </w:rPr>
        <w:t>山西省生态环境管控单元相对位置图</w:t>
      </w:r>
      <w:r>
        <w:rPr>
          <w:rFonts w:eastAsia="仿宋"/>
          <w:b/>
          <w:color w:val="000000"/>
          <w:sz w:val="28"/>
          <w:szCs w:val="28"/>
        </w:rPr>
        <w:pict>
          <v:shape id="_x0000_i1037" o:spt="75" type="#_x0000_t75" style="height:409.85pt;width:517.85pt;" filled="f" o:preferrelative="t" stroked="f" coordsize="21600,21600">
            <v:path/>
            <v:fill on="f" focussize="0,0"/>
            <v:stroke on="f" joinstyle="miter"/>
            <v:imagedata r:id="rId50" croptop="1965f" o:title="忻州市"/>
            <o:lock v:ext="edit" aspectratio="t"/>
            <w10:wrap type="none"/>
            <w10:anchorlock/>
          </v:shape>
        </w:pict>
      </w:r>
    </w:p>
    <w:p>
      <w:pPr>
        <w:jc w:val="center"/>
        <w:rPr>
          <w:rFonts w:eastAsia="仿宋"/>
          <w:b/>
          <w:color w:val="000000"/>
          <w:sz w:val="28"/>
          <w:szCs w:val="28"/>
        </w:rPr>
      </w:pPr>
      <w:r>
        <w:rPr>
          <w:lang w:bidi="mn-Mong-CN"/>
        </w:rPr>
        <mc:AlternateContent>
          <mc:Choice Requires="wps">
            <w:drawing>
              <wp:anchor distT="0" distB="0" distL="114300" distR="114300" simplePos="0" relativeHeight="251692032" behindDoc="0" locked="0" layoutInCell="1" allowOverlap="1">
                <wp:simplePos x="0" y="0"/>
                <wp:positionH relativeFrom="column">
                  <wp:posOffset>5749925</wp:posOffset>
                </wp:positionH>
                <wp:positionV relativeFrom="paragraph">
                  <wp:posOffset>-1336040</wp:posOffset>
                </wp:positionV>
                <wp:extent cx="1028065" cy="530860"/>
                <wp:effectExtent l="342900" t="95250" r="19685" b="21590"/>
                <wp:wrapNone/>
                <wp:docPr id="85" name="圆角矩形标注 85"/>
                <wp:cNvGraphicFramePr/>
                <a:graphic xmlns:a="http://schemas.openxmlformats.org/drawingml/2006/main">
                  <a:graphicData uri="http://schemas.microsoft.com/office/word/2010/wordprocessingShape">
                    <wps:wsp>
                      <wps:cNvSpPr/>
                      <wps:spPr>
                        <a:xfrm>
                          <a:off x="0" y="0"/>
                          <a:ext cx="1028065" cy="530860"/>
                        </a:xfrm>
                        <a:prstGeom prst="wedgeRoundRectCallout">
                          <a:avLst>
                            <a:gd name="adj1" fmla="val -82330"/>
                            <a:gd name="adj2" fmla="val -66292"/>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52.75pt;margin-top:-105.2pt;height:41.8pt;width:80.95pt;z-index:251692032;v-text-anchor:middle;mso-width-relative:page;mso-height-relative:page;" fillcolor="#FFFFFF [3212]" filled="t" stroked="t" coordsize="21600,21600" o:gfxdata="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K+CwYPaAAAADgEAAA8AAAAA&#10;AAAAAQAgAAAAIgAAAGRycy9kb3ducmV2LnhtbFBLAQIUABQAAAAIAIdO4kAeW7PtvQIAAH4FAAAO&#10;AAAAAAAAAAEAIAAAACkBAABkcnMvZTJvRG9jLnhtbFBLBQYAAAAABgAGAFkBAABYBgAAAAA=&#10;" adj="-6983,-3519,14400">
                <v:fill on="t" focussize="0,0"/>
                <v:stroke weight="2pt" color="#FF0000 [3204]" joinstyle="round"/>
                <v:imagedata o:title=""/>
                <o:lock v:ext="edit" aspectratio="f"/>
                <v:textbox>
                  <w:txbxContent>
                    <w:p>
                      <w:pPr>
                        <w:jc w:val="center"/>
                        <w:rPr>
                          <w:color w:val="000000" w:themeColor="text1"/>
                          <w:sz w:val="28"/>
                          <w:szCs w:val="36"/>
                          <w14:textFill>
                            <w14:solidFill>
                              <w14:schemeClr w14:val="tx1"/>
                            </w14:solidFill>
                          </w14:textFill>
                        </w:rPr>
                      </w:pPr>
                      <w:r>
                        <w:rPr>
                          <w:rFonts w:hint="eastAsia"/>
                          <w:color w:val="000000" w:themeColor="text1"/>
                          <w:sz w:val="28"/>
                          <w:szCs w:val="36"/>
                          <w14:textFill>
                            <w14:solidFill>
                              <w14:schemeClr w14:val="tx1"/>
                            </w14:solidFill>
                          </w14:textFill>
                        </w:rPr>
                        <w:t>项目位置</w:t>
                      </w:r>
                    </w:p>
                  </w:txbxContent>
                </v:textbox>
              </v:shape>
            </w:pict>
          </mc:Fallback>
        </mc:AlternateContent>
      </w:r>
      <w:r>
        <w:rPr>
          <w:lang w:bidi="mn-Mong-CN"/>
        </w:rPr>
        <mc:AlternateContent>
          <mc:Choice Requires="wps">
            <w:drawing>
              <wp:anchor distT="0" distB="0" distL="114300" distR="114300" simplePos="0" relativeHeight="251691008" behindDoc="0" locked="0" layoutInCell="1" allowOverlap="1">
                <wp:simplePos x="0" y="0"/>
                <wp:positionH relativeFrom="column">
                  <wp:posOffset>5303520</wp:posOffset>
                </wp:positionH>
                <wp:positionV relativeFrom="paragraph">
                  <wp:posOffset>-1504315</wp:posOffset>
                </wp:positionV>
                <wp:extent cx="75565" cy="71755"/>
                <wp:effectExtent l="19050" t="38100" r="38735" b="42545"/>
                <wp:wrapNone/>
                <wp:docPr id="83" name="五角星 83"/>
                <wp:cNvGraphicFramePr/>
                <a:graphic xmlns:a="http://schemas.openxmlformats.org/drawingml/2006/main">
                  <a:graphicData uri="http://schemas.microsoft.com/office/word/2010/wordprocessingShape">
                    <wps:wsp>
                      <wps:cNvSpPr/>
                      <wps:spPr>
                        <a:xfrm>
                          <a:off x="0" y="0"/>
                          <a:ext cx="75565" cy="71755"/>
                        </a:xfrm>
                        <a:prstGeom prst="star5">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17.6pt;margin-top:-118.45pt;height:5.65pt;width:5.95pt;z-index:251691008;v-text-anchor:middle;mso-width-relative:page;mso-height-relative:page;" fillcolor="#0070C0" filled="t" stroked="t" coordsize="75565,71755" o:gfxdata="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jc3Gk2wAAAA0BAAAPAAAAAAAAAAEAIAAAACIAAABkcnMvZG93bnJldi54bWxQ&#10;SwECFAAUAAAACACHTuJAfHk9yGYCAADgBAAADgAAAAAAAAABACAAAAAqAQAAZHJzL2Uyb0RvYy54&#10;bWxQSwUGAAAAAAYABgBZAQAAAgYAAAAA&#10;" path="m0,27407l28863,27408,37782,0,46701,27408,75564,27407,52213,44346,61133,71754,37782,54815,14431,71754,23351,44346xe">
                <v:path o:connectlocs="37782,0;0,27407;14431,71754;61133,71754;75564,27407" o:connectangles="247,164,82,82,0"/>
                <v:fill on="t" focussize="0,0"/>
                <v:stroke weight="2pt" color="#0070C0 [3204]" joinstyle="round"/>
                <v:imagedata o:title=""/>
                <o:lock v:ext="edit" aspectratio="f"/>
              </v:shape>
            </w:pict>
          </mc:Fallback>
        </mc:AlternateContent>
      </w:r>
      <w:r>
        <w:rPr>
          <w:rFonts w:eastAsia="仿宋"/>
          <w:b/>
          <w:color w:val="000000"/>
          <w:sz w:val="28"/>
          <w:szCs w:val="28"/>
        </w:rPr>
        <w:t>附图</w:t>
      </w:r>
      <w:r>
        <w:rPr>
          <w:rFonts w:hint="eastAsia" w:eastAsia="仿宋"/>
          <w:b/>
          <w:color w:val="000000"/>
          <w:sz w:val="28"/>
          <w:szCs w:val="28"/>
        </w:rPr>
        <w:t>10</w:t>
      </w:r>
      <w:r>
        <w:rPr>
          <w:rFonts w:eastAsia="仿宋"/>
          <w:b/>
          <w:color w:val="000000"/>
          <w:sz w:val="28"/>
          <w:szCs w:val="28"/>
        </w:rPr>
        <w:t xml:space="preserve">  项目与</w:t>
      </w:r>
      <w:r>
        <w:rPr>
          <w:rFonts w:hint="eastAsia" w:eastAsia="仿宋"/>
          <w:b/>
          <w:color w:val="000000"/>
          <w:sz w:val="28"/>
          <w:szCs w:val="28"/>
        </w:rPr>
        <w:t>忻州市生态环境管控单元相对位置图</w:t>
      </w:r>
    </w:p>
    <w:p>
      <w:pPr>
        <w:jc w:val="center"/>
        <w:rPr>
          <w:rFonts w:eastAsia="仿宋"/>
          <w:b/>
          <w:color w:val="000000"/>
          <w:sz w:val="28"/>
          <w:szCs w:val="28"/>
        </w:rPr>
        <w:sectPr>
          <w:pgSz w:w="16838" w:h="11906" w:orient="landscape"/>
          <w:pgMar w:top="1531" w:right="1701" w:bottom="1531" w:left="1701" w:header="851" w:footer="851" w:gutter="0"/>
          <w:cols w:space="720" w:num="1"/>
          <w:docGrid w:linePitch="312" w:charSpace="0"/>
        </w:sectPr>
      </w:pPr>
    </w:p>
    <w:p>
      <w:pPr>
        <w:rPr>
          <w:b/>
          <w:bCs/>
          <w:sz w:val="28"/>
          <w:szCs w:val="28"/>
          <w:lang w:bidi="mn-Mong-CN"/>
        </w:rPr>
      </w:pPr>
      <w:r>
        <w:rPr>
          <w:b/>
          <w:bCs/>
          <w:sz w:val="28"/>
          <w:szCs w:val="28"/>
          <w:lang w:bidi="mn-Mong-CN"/>
        </w:rPr>
        <w:t>附件1：委托书</w:t>
      </w:r>
    </w:p>
    <w:p>
      <w:pPr>
        <w:rPr>
          <w:lang w:bidi="mn-Mong-CN"/>
        </w:rPr>
        <w:sectPr>
          <w:pgSz w:w="11906" w:h="16838"/>
          <w:pgMar w:top="1701" w:right="1531" w:bottom="1701" w:left="1531" w:header="851" w:footer="851" w:gutter="0"/>
          <w:cols w:space="720" w:num="1"/>
          <w:docGrid w:linePitch="312" w:charSpace="0"/>
        </w:sectPr>
      </w:pPr>
      <w:r>
        <w:rPr>
          <w:lang w:bidi="mn-Mong-CN"/>
        </w:rPr>
        <w:pict>
          <v:shape id="_x0000_i1038" o:spt="75" type="#_x0000_t75" style="height:624pt;width:444.9pt;" filled="f" o:preferrelative="t" stroked="f" coordsize="21600,21600">
            <v:path/>
            <v:fill on="f" focussize="0,0"/>
            <v:stroke on="f" joinstyle="miter"/>
            <v:imagedata r:id="rId51" grayscale="t" o:title="SKM_C36821071404210"/>
            <o:lock v:ext="edit" aspectratio="t"/>
            <w10:wrap type="none"/>
            <w10:anchorlock/>
          </v:shape>
        </w:pict>
      </w:r>
    </w:p>
    <w:p>
      <w:pPr>
        <w:rPr>
          <w:b/>
          <w:bCs/>
          <w:sz w:val="28"/>
          <w:szCs w:val="28"/>
          <w:lang w:bidi="mn-Mong-CN"/>
        </w:rPr>
      </w:pPr>
      <w:r>
        <w:rPr>
          <w:b/>
          <w:bCs/>
          <w:sz w:val="28"/>
          <w:szCs w:val="28"/>
          <w:lang w:bidi="mn-Mong-CN"/>
        </w:rPr>
        <w:t>附件2：备案文件</w:t>
      </w:r>
    </w:p>
    <w:p>
      <w:pPr>
        <w:jc w:val="center"/>
        <w:rPr>
          <w:b/>
          <w:bCs/>
          <w:sz w:val="28"/>
          <w:szCs w:val="28"/>
          <w:lang w:bidi="mn-Mong-CN"/>
        </w:rPr>
      </w:pPr>
      <w:r>
        <w:rPr>
          <w:lang w:bidi="mn-Mong-CN"/>
        </w:rPr>
        <w:drawing>
          <wp:inline distT="0" distB="0" distL="0" distR="0">
            <wp:extent cx="7686675" cy="5417820"/>
            <wp:effectExtent l="0" t="8572" r="952" b="953"/>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2"/>
                    <a:stretch>
                      <a:fillRect/>
                    </a:stretch>
                  </pic:blipFill>
                  <pic:spPr>
                    <a:xfrm rot="16200000">
                      <a:off x="0" y="0"/>
                      <a:ext cx="7708695" cy="5433560"/>
                    </a:xfrm>
                    <a:prstGeom prst="rect">
                      <a:avLst/>
                    </a:prstGeom>
                  </pic:spPr>
                </pic:pic>
              </a:graphicData>
            </a:graphic>
          </wp:inline>
        </w:drawing>
      </w:r>
    </w:p>
    <w:p>
      <w:pPr>
        <w:jc w:val="center"/>
        <w:rPr>
          <w:b/>
          <w:bCs/>
          <w:sz w:val="28"/>
          <w:szCs w:val="28"/>
          <w:lang w:bidi="mn-Mong-CN"/>
        </w:rPr>
        <w:sectPr>
          <w:pgSz w:w="11906" w:h="16838"/>
          <w:pgMar w:top="1701" w:right="1531" w:bottom="1701" w:left="1531" w:header="851" w:footer="851" w:gutter="0"/>
          <w:cols w:space="720" w:num="1"/>
          <w:docGrid w:linePitch="312" w:charSpace="0"/>
        </w:sectPr>
      </w:pPr>
    </w:p>
    <w:p>
      <w:pPr>
        <w:rPr>
          <w:b/>
          <w:bCs/>
          <w:sz w:val="28"/>
          <w:szCs w:val="28"/>
          <w:lang w:bidi="mn-Mong-CN"/>
        </w:rPr>
      </w:pPr>
      <w:r>
        <w:rPr>
          <w:b/>
          <w:bCs/>
          <w:sz w:val="28"/>
          <w:szCs w:val="28"/>
          <w:lang w:bidi="mn-Mong-CN"/>
        </w:rPr>
        <w:t>附件3：营业执照</w:t>
      </w:r>
    </w:p>
    <w:p>
      <w:pPr>
        <w:jc w:val="center"/>
        <w:rPr>
          <w:b/>
          <w:bCs/>
          <w:sz w:val="28"/>
          <w:szCs w:val="28"/>
          <w:lang w:bidi="mn-Mong-CN"/>
        </w:rPr>
      </w:pPr>
      <w:r>
        <w:rPr>
          <w:b/>
          <w:bCs/>
          <w:sz w:val="28"/>
          <w:szCs w:val="28"/>
          <w:lang w:bidi="mn-Mong-CN"/>
        </w:rPr>
        <w:drawing>
          <wp:inline distT="0" distB="0" distL="0" distR="0">
            <wp:extent cx="5634990" cy="7731760"/>
            <wp:effectExtent l="0" t="0" r="3810" b="2540"/>
            <wp:docPr id="8" name="图片 8" descr="C:\Users\Administrator\Desktop\a99a5ddfeacf439030a82ffe0a4d7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a99a5ddfeacf439030a82ffe0a4d71d.jpg"/>
                    <pic:cNvPicPr>
                      <a:picLocks noChangeAspect="1" noChangeArrowheads="1"/>
                    </pic:cNvPicPr>
                  </pic:nvPicPr>
                  <pic:blipFill>
                    <a:blip r:embed="rId53">
                      <a:grayscl/>
                      <a:extLst>
                        <a:ext uri="{28A0092B-C50C-407E-A947-70E740481C1C}">
                          <a14:useLocalDpi xmlns:a14="http://schemas.microsoft.com/office/drawing/2010/main" val="0"/>
                        </a:ext>
                      </a:extLst>
                    </a:blip>
                    <a:srcRect t="20083" b="16506"/>
                    <a:stretch>
                      <a:fillRect/>
                    </a:stretch>
                  </pic:blipFill>
                  <pic:spPr>
                    <a:xfrm>
                      <a:off x="0" y="0"/>
                      <a:ext cx="5642564" cy="7742095"/>
                    </a:xfrm>
                    <a:prstGeom prst="rect">
                      <a:avLst/>
                    </a:prstGeom>
                    <a:noFill/>
                    <a:ln>
                      <a:noFill/>
                    </a:ln>
                  </pic:spPr>
                </pic:pic>
              </a:graphicData>
            </a:graphic>
          </wp:inline>
        </w:drawing>
      </w:r>
    </w:p>
    <w:p>
      <w:pPr>
        <w:rPr>
          <w:b/>
          <w:bCs/>
          <w:sz w:val="28"/>
          <w:szCs w:val="28"/>
          <w:lang w:bidi="mn-Mong-CN"/>
        </w:rPr>
        <w:sectPr>
          <w:pgSz w:w="11906" w:h="16838"/>
          <w:pgMar w:top="1701" w:right="1531" w:bottom="1701" w:left="1531" w:header="851" w:footer="851" w:gutter="0"/>
          <w:cols w:space="720" w:num="1"/>
          <w:docGrid w:linePitch="312" w:charSpace="0"/>
        </w:sectPr>
      </w:pPr>
    </w:p>
    <w:p>
      <w:pPr>
        <w:rPr>
          <w:b/>
          <w:bCs/>
          <w:sz w:val="28"/>
          <w:szCs w:val="28"/>
          <w:lang w:bidi="mn-Mong-CN"/>
        </w:rPr>
      </w:pPr>
      <w:r>
        <w:rPr>
          <w:b/>
          <w:bCs/>
          <w:sz w:val="28"/>
          <w:szCs w:val="28"/>
          <w:lang w:bidi="mn-Mong-CN"/>
        </w:rPr>
        <w:t>附件4：土地协议</w:t>
      </w:r>
    </w:p>
    <w:p>
      <w:pPr>
        <w:jc w:val="center"/>
        <w:rPr>
          <w:b/>
          <w:bCs/>
          <w:sz w:val="28"/>
          <w:szCs w:val="28"/>
          <w:lang w:bidi="mn-Mong-CN"/>
        </w:rPr>
      </w:pPr>
      <w:r>
        <w:rPr>
          <w:lang w:bidi="mn-Mong-CN"/>
        </w:rPr>
        <w:drawing>
          <wp:inline distT="0" distB="0" distL="0" distR="0">
            <wp:extent cx="8079740" cy="5546725"/>
            <wp:effectExtent l="9207" t="0" r="6668" b="6667"/>
            <wp:docPr id="66" name="图片 66" descr="C:\Users\ADMINI~1\AppData\Local\Temp\WeChat Files\84a68e6efd5a1ae8e2b75ffee679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ADMINI~1\AppData\Local\Temp\WeChat Files\84a68e6efd5a1ae8e2b75ffee679350.jpg"/>
                    <pic:cNvPicPr>
                      <a:picLocks noChangeAspect="1" noChangeArrowheads="1"/>
                    </pic:cNvPicPr>
                  </pic:nvPicPr>
                  <pic:blipFill>
                    <a:blip r:embed="rId54">
                      <a:grayscl/>
                      <a:extLst>
                        <a:ext uri="{28A0092B-C50C-407E-A947-70E740481C1C}">
                          <a14:useLocalDpi xmlns:a14="http://schemas.microsoft.com/office/drawing/2010/main" val="0"/>
                        </a:ext>
                      </a:extLst>
                    </a:blip>
                    <a:srcRect t="36032" b="32287"/>
                    <a:stretch>
                      <a:fillRect/>
                    </a:stretch>
                  </pic:blipFill>
                  <pic:spPr>
                    <a:xfrm rot="5400000">
                      <a:off x="0" y="0"/>
                      <a:ext cx="8081220" cy="5547729"/>
                    </a:xfrm>
                    <a:prstGeom prst="rect">
                      <a:avLst/>
                    </a:prstGeom>
                    <a:noFill/>
                    <a:ln>
                      <a:noFill/>
                    </a:ln>
                  </pic:spPr>
                </pic:pic>
              </a:graphicData>
            </a:graphic>
          </wp:inline>
        </w:drawing>
      </w:r>
    </w:p>
    <w:p>
      <w:pPr>
        <w:jc w:val="center"/>
        <w:rPr>
          <w:b/>
          <w:bCs/>
          <w:sz w:val="28"/>
          <w:szCs w:val="28"/>
          <w:lang w:bidi="mn-Mong-CN"/>
        </w:rPr>
      </w:pPr>
    </w:p>
    <w:p>
      <w:pPr>
        <w:jc w:val="center"/>
        <w:rPr>
          <w:b/>
          <w:bCs/>
          <w:sz w:val="28"/>
          <w:szCs w:val="28"/>
          <w:lang w:bidi="mn-Mong-CN"/>
        </w:rPr>
      </w:pPr>
      <w:r>
        <w:rPr>
          <w:lang w:bidi="mn-Mong-CN"/>
        </w:rPr>
        <w:drawing>
          <wp:anchor distT="0" distB="0" distL="114300" distR="114300" simplePos="0" relativeHeight="251682816" behindDoc="0" locked="0" layoutInCell="1" allowOverlap="1">
            <wp:simplePos x="0" y="0"/>
            <wp:positionH relativeFrom="margin">
              <wp:align>center</wp:align>
            </wp:positionH>
            <wp:positionV relativeFrom="margin">
              <wp:align>center</wp:align>
            </wp:positionV>
            <wp:extent cx="5405120" cy="7258685"/>
            <wp:effectExtent l="0" t="0" r="5080" b="0"/>
            <wp:wrapSquare wrapText="bothSides"/>
            <wp:docPr id="2" name="图片 2" descr="C:\Users\ADMINI~1\AppData\Local\Temp\WeChat Files\58103e1c6c0e45cfb0299e5893d4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1\AppData\Local\Temp\WeChat Files\58103e1c6c0e45cfb0299e5893d421b.jpg"/>
                    <pic:cNvPicPr>
                      <a:picLocks noChangeAspect="1" noChangeArrowheads="1"/>
                    </pic:cNvPicPr>
                  </pic:nvPicPr>
                  <pic:blipFill>
                    <a:blip r:embed="rId55">
                      <a:grayscl/>
                      <a:extLst>
                        <a:ext uri="{28A0092B-C50C-407E-A947-70E740481C1C}">
                          <a14:useLocalDpi xmlns:a14="http://schemas.microsoft.com/office/drawing/2010/main" val="0"/>
                        </a:ext>
                      </a:extLst>
                    </a:blip>
                    <a:srcRect t="20290" b="17642"/>
                    <a:stretch>
                      <a:fillRect/>
                    </a:stretch>
                  </pic:blipFill>
                  <pic:spPr>
                    <a:xfrm>
                      <a:off x="0" y="0"/>
                      <a:ext cx="5406031" cy="7259788"/>
                    </a:xfrm>
                    <a:prstGeom prst="rect">
                      <a:avLst/>
                    </a:prstGeom>
                    <a:noFill/>
                    <a:ln>
                      <a:noFill/>
                    </a:ln>
                  </pic:spPr>
                </pic:pic>
              </a:graphicData>
            </a:graphic>
          </wp:anchor>
        </w:drawing>
      </w:r>
      <w:r>
        <w:rPr>
          <w:b/>
          <w:bCs/>
          <w:sz w:val="28"/>
          <w:szCs w:val="28"/>
          <w:lang w:bidi="mn-Mong-CN"/>
        </w:rPr>
        <w:br w:type="page"/>
      </w:r>
    </w:p>
    <w:p>
      <w:pPr>
        <w:jc w:val="center"/>
        <w:rPr>
          <w:b/>
          <w:bCs/>
          <w:sz w:val="28"/>
          <w:szCs w:val="28"/>
          <w:lang w:bidi="mn-Mong-CN"/>
        </w:rPr>
      </w:pPr>
      <w:r>
        <w:rPr>
          <w:lang w:bidi="mn-Mong-CN"/>
        </w:rPr>
        <w:drawing>
          <wp:anchor distT="0" distB="0" distL="114300" distR="114300" simplePos="0" relativeHeight="251683840" behindDoc="0" locked="0" layoutInCell="1" allowOverlap="1">
            <wp:simplePos x="0" y="0"/>
            <wp:positionH relativeFrom="margin">
              <wp:align>center</wp:align>
            </wp:positionH>
            <wp:positionV relativeFrom="margin">
              <wp:align>center</wp:align>
            </wp:positionV>
            <wp:extent cx="5409565" cy="7277735"/>
            <wp:effectExtent l="0" t="0" r="635" b="0"/>
            <wp:wrapSquare wrapText="bothSides"/>
            <wp:docPr id="67" name="图片 67" descr="C:\Users\ADMINI~1\AppData\Local\Temp\WeChat Files\c6daacc9dd0d8328be68241f6a59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ADMINI~1\AppData\Local\Temp\WeChat Files\c6daacc9dd0d8328be68241f6a59955.jpg"/>
                    <pic:cNvPicPr>
                      <a:picLocks noChangeAspect="1" noChangeArrowheads="1"/>
                    </pic:cNvPicPr>
                  </pic:nvPicPr>
                  <pic:blipFill>
                    <a:blip r:embed="rId56">
                      <a:grayscl/>
                      <a:extLst>
                        <a:ext uri="{28A0092B-C50C-407E-A947-70E740481C1C}">
                          <a14:useLocalDpi xmlns:a14="http://schemas.microsoft.com/office/drawing/2010/main" val="0"/>
                        </a:ext>
                      </a:extLst>
                    </a:blip>
                    <a:srcRect t="20530" b="17288"/>
                    <a:stretch>
                      <a:fillRect/>
                    </a:stretch>
                  </pic:blipFill>
                  <pic:spPr>
                    <a:xfrm>
                      <a:off x="0" y="0"/>
                      <a:ext cx="5409565" cy="7277735"/>
                    </a:xfrm>
                    <a:prstGeom prst="rect">
                      <a:avLst/>
                    </a:prstGeom>
                    <a:noFill/>
                    <a:ln>
                      <a:noFill/>
                    </a:ln>
                  </pic:spPr>
                </pic:pic>
              </a:graphicData>
            </a:graphic>
          </wp:anchor>
        </w:drawing>
      </w:r>
      <w:r>
        <w:rPr>
          <w:b/>
          <w:bCs/>
          <w:sz w:val="28"/>
          <w:szCs w:val="28"/>
          <w:lang w:bidi="mn-Mong-CN"/>
        </w:rPr>
        <w:br w:type="page"/>
      </w:r>
    </w:p>
    <w:p>
      <w:pPr>
        <w:rPr>
          <w:b/>
          <w:bCs/>
          <w:sz w:val="28"/>
          <w:szCs w:val="28"/>
          <w:lang w:bidi="mn-Mong-CN"/>
        </w:rPr>
      </w:pPr>
      <w:r>
        <w:rPr>
          <w:b/>
          <w:bCs/>
          <w:sz w:val="28"/>
          <w:szCs w:val="28"/>
          <w:lang w:bidi="mn-Mong-CN"/>
        </w:rPr>
        <w:t>附件5：现有工程环评批复</w:t>
      </w:r>
    </w:p>
    <w:p>
      <w:pPr>
        <w:jc w:val="center"/>
        <w:rPr>
          <w:b/>
          <w:bCs/>
          <w:sz w:val="28"/>
          <w:szCs w:val="28"/>
          <w:lang w:bidi="mn-Mong-CN"/>
        </w:rPr>
      </w:pPr>
      <w:r>
        <w:pict>
          <v:shape id="_x0000_s1032" o:spid="_x0000_s1032" o:spt="75" type="#_x0000_t75" style="position:absolute;left:0pt;height:624.8pt;width:441.75pt;mso-position-horizontal:center;mso-position-horizontal-relative:margin;mso-position-vertical:center;mso-position-vertical-relative:margin;mso-wrap-distance-bottom:0pt;mso-wrap-distance-left:9pt;mso-wrap-distance-right:9pt;mso-wrap-distance-top:0pt;z-index:251684864;mso-width-relative:page;mso-height-relative:page;" filled="f" o:preferrelative="t" stroked="f" coordsize="21600,21600">
            <v:path/>
            <v:fill on="f" focussize="0,0"/>
            <v:stroke on="f" joinstyle="miter"/>
            <v:imagedata r:id="rId57" grayscale="t" o:title="原有批复"/>
            <o:lock v:ext="edit" aspectratio="t"/>
            <w10:wrap type="square"/>
          </v:shape>
        </w:pict>
      </w:r>
      <w:r>
        <w:rPr>
          <w:b/>
          <w:bCs/>
          <w:sz w:val="28"/>
          <w:szCs w:val="28"/>
          <w:lang w:bidi="mn-Mong-CN"/>
        </w:rPr>
        <w:br w:type="page"/>
      </w:r>
    </w:p>
    <w:p>
      <w:pPr>
        <w:rPr>
          <w:b/>
          <w:bCs/>
          <w:sz w:val="28"/>
          <w:szCs w:val="28"/>
          <w:lang w:bidi="mn-Mong-CN"/>
        </w:rPr>
      </w:pPr>
      <w:r>
        <w:rPr>
          <w:b/>
          <w:bCs/>
          <w:sz w:val="28"/>
          <w:szCs w:val="28"/>
          <w:lang w:bidi="mn-Mong-CN"/>
        </w:rPr>
        <w:t>附件6：现有工程验收意见</w:t>
      </w:r>
    </w:p>
    <w:p>
      <w:pPr>
        <w:jc w:val="center"/>
        <w:rPr>
          <w:b/>
          <w:bCs/>
          <w:sz w:val="28"/>
          <w:szCs w:val="28"/>
          <w:lang w:bidi="mn-Mong-CN"/>
        </w:rPr>
      </w:pPr>
      <w:r>
        <w:rPr>
          <w:b/>
          <w:bCs/>
          <w:sz w:val="28"/>
          <w:szCs w:val="28"/>
          <w:lang w:bidi="mn-Mong-CN"/>
        </w:rPr>
        <w:pict>
          <v:shape id="_x0000_i1039" o:spt="75" type="#_x0000_t75" style="height:625.85pt;width:440.3pt;" filled="f" o:preferrelative="t" stroked="f" coordsize="21600,21600">
            <v:path/>
            <v:fill on="f" focussize="0,0"/>
            <v:stroke on="f" joinstyle="miter"/>
            <v:imagedata r:id="rId58" grayscale="t" o:title="鑫康原有验收意见"/>
            <o:lock v:ext="edit" aspectratio="t"/>
            <w10:wrap type="none"/>
            <w10:anchorlock/>
          </v:shape>
        </w:pict>
      </w:r>
    </w:p>
    <w:p>
      <w:pPr>
        <w:jc w:val="center"/>
        <w:rPr>
          <w:b/>
          <w:bCs/>
          <w:sz w:val="28"/>
          <w:szCs w:val="28"/>
          <w:lang w:bidi="mn-Mong-CN"/>
        </w:rPr>
        <w:sectPr>
          <w:pgSz w:w="11906" w:h="16838"/>
          <w:pgMar w:top="1701" w:right="1531" w:bottom="1701" w:left="1531" w:header="851" w:footer="851" w:gutter="0"/>
          <w:cols w:space="720" w:num="1"/>
          <w:docGrid w:linePitch="312" w:charSpace="0"/>
        </w:sectPr>
      </w:pPr>
    </w:p>
    <w:p>
      <w:pPr>
        <w:rPr>
          <w:b/>
          <w:bCs/>
          <w:sz w:val="28"/>
          <w:szCs w:val="28"/>
          <w:lang w:bidi="mn-Mong-CN"/>
        </w:rPr>
      </w:pPr>
      <w:r>
        <w:rPr>
          <w:b/>
          <w:bCs/>
          <w:sz w:val="28"/>
          <w:szCs w:val="28"/>
          <w:lang w:bidi="mn-Mong-CN"/>
        </w:rPr>
        <w:t>附件</w:t>
      </w:r>
      <w:r>
        <w:rPr>
          <w:rFonts w:hint="eastAsia"/>
          <w:b/>
          <w:bCs/>
          <w:sz w:val="28"/>
          <w:szCs w:val="28"/>
          <w:lang w:bidi="mn-Mong-CN"/>
        </w:rPr>
        <w:t>7</w:t>
      </w:r>
      <w:r>
        <w:rPr>
          <w:b/>
          <w:bCs/>
          <w:sz w:val="28"/>
          <w:szCs w:val="28"/>
          <w:lang w:bidi="mn-Mong-CN"/>
        </w:rPr>
        <w:t>：</w:t>
      </w:r>
      <w:r>
        <w:rPr>
          <w:rFonts w:hint="eastAsia"/>
          <w:b/>
          <w:bCs/>
          <w:sz w:val="28"/>
          <w:szCs w:val="28"/>
          <w:lang w:bidi="mn-Mong-CN"/>
        </w:rPr>
        <w:t>类比监测</w:t>
      </w:r>
      <w:r>
        <w:rPr>
          <w:b/>
          <w:bCs/>
          <w:sz w:val="28"/>
          <w:szCs w:val="28"/>
          <w:lang w:bidi="mn-Mong-CN"/>
        </w:rPr>
        <w:t>报告</w:t>
      </w:r>
    </w:p>
    <w:p>
      <w:pPr>
        <w:rPr>
          <w:b/>
          <w:bCs/>
          <w:sz w:val="28"/>
          <w:szCs w:val="28"/>
          <w:lang w:bidi="mn-Mong-CN"/>
        </w:rPr>
      </w:pPr>
    </w:p>
    <w:p>
      <w:pPr>
        <w:jc w:val="center"/>
        <w:rPr>
          <w:lang w:bidi="mn-Mong-CN"/>
        </w:rPr>
      </w:pPr>
      <w:r>
        <w:rPr>
          <w:lang w:bidi="mn-Mong-CN"/>
        </w:rPr>
        <w:drawing>
          <wp:inline distT="0" distB="0" distL="0" distR="0">
            <wp:extent cx="5486400" cy="777367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59">
                      <a:grayscl/>
                    </a:blip>
                    <a:stretch>
                      <a:fillRect/>
                    </a:stretch>
                  </pic:blipFill>
                  <pic:spPr>
                    <a:xfrm>
                      <a:off x="0" y="0"/>
                      <a:ext cx="5486400" cy="7773670"/>
                    </a:xfrm>
                    <a:prstGeom prst="rect">
                      <a:avLst/>
                    </a:prstGeom>
                  </pic:spPr>
                </pic:pic>
              </a:graphicData>
            </a:graphic>
          </wp:inline>
        </w:drawing>
      </w:r>
    </w:p>
    <w:p>
      <w:pPr>
        <w:jc w:val="center"/>
        <w:rPr>
          <w:b/>
          <w:bCs/>
          <w:sz w:val="28"/>
          <w:szCs w:val="28"/>
          <w:lang w:bidi="mn-Mong-CN"/>
        </w:rPr>
      </w:pPr>
      <w:r>
        <w:rPr>
          <w:lang w:bidi="mn-Mong-CN"/>
        </w:rPr>
        <w:drawing>
          <wp:inline distT="0" distB="0" distL="0" distR="0">
            <wp:extent cx="5568315" cy="791400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60">
                      <a:grayscl/>
                    </a:blip>
                    <a:stretch>
                      <a:fillRect/>
                    </a:stretch>
                  </pic:blipFill>
                  <pic:spPr>
                    <a:xfrm>
                      <a:off x="0" y="0"/>
                      <a:ext cx="5565091" cy="7909440"/>
                    </a:xfrm>
                    <a:prstGeom prst="rect">
                      <a:avLst/>
                    </a:prstGeom>
                  </pic:spPr>
                </pic:pic>
              </a:graphicData>
            </a:graphic>
          </wp:inline>
        </w:drawing>
      </w:r>
    </w:p>
    <w:p>
      <w:pPr>
        <w:jc w:val="center"/>
        <w:rPr>
          <w:b/>
          <w:bCs/>
          <w:sz w:val="28"/>
          <w:szCs w:val="28"/>
          <w:lang w:bidi="mn-Mong-CN"/>
        </w:rPr>
      </w:pPr>
      <w:r>
        <w:rPr>
          <w:lang w:bidi="mn-Mong-CN"/>
        </w:rPr>
        <w:drawing>
          <wp:inline distT="0" distB="0" distL="0" distR="0">
            <wp:extent cx="5499735" cy="7807325"/>
            <wp:effectExtent l="0" t="0" r="5715" b="317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61">
                      <a:grayscl/>
                    </a:blip>
                    <a:stretch>
                      <a:fillRect/>
                    </a:stretch>
                  </pic:blipFill>
                  <pic:spPr>
                    <a:xfrm>
                      <a:off x="0" y="0"/>
                      <a:ext cx="5503656" cy="7813033"/>
                    </a:xfrm>
                    <a:prstGeom prst="rect">
                      <a:avLst/>
                    </a:prstGeom>
                  </pic:spPr>
                </pic:pic>
              </a:graphicData>
            </a:graphic>
          </wp:inline>
        </w:drawing>
      </w:r>
    </w:p>
    <w:p>
      <w:pPr>
        <w:jc w:val="center"/>
        <w:rPr>
          <w:b/>
          <w:bCs/>
          <w:sz w:val="28"/>
          <w:szCs w:val="28"/>
          <w:lang w:bidi="mn-Mong-CN"/>
        </w:rPr>
      </w:pPr>
      <w:r>
        <w:rPr>
          <w:lang w:bidi="mn-Mong-CN"/>
        </w:rPr>
        <w:drawing>
          <wp:inline distT="0" distB="0" distL="0" distR="0">
            <wp:extent cx="5461000" cy="7758430"/>
            <wp:effectExtent l="0" t="0" r="635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62">
                      <a:grayscl/>
                    </a:blip>
                    <a:stretch>
                      <a:fillRect/>
                    </a:stretch>
                  </pic:blipFill>
                  <pic:spPr>
                    <a:xfrm>
                      <a:off x="0" y="0"/>
                      <a:ext cx="5467396" cy="7767171"/>
                    </a:xfrm>
                    <a:prstGeom prst="rect">
                      <a:avLst/>
                    </a:prstGeom>
                  </pic:spPr>
                </pic:pic>
              </a:graphicData>
            </a:graphic>
          </wp:inline>
        </w:drawing>
      </w:r>
    </w:p>
    <w:p>
      <w:pPr>
        <w:jc w:val="center"/>
        <w:rPr>
          <w:b/>
          <w:bCs/>
          <w:sz w:val="28"/>
          <w:szCs w:val="28"/>
          <w:lang w:bidi="mn-Mong-CN"/>
        </w:rPr>
      </w:pPr>
      <w:r>
        <w:rPr>
          <w:lang w:bidi="mn-Mong-CN"/>
        </w:rPr>
        <w:drawing>
          <wp:inline distT="0" distB="0" distL="0" distR="0">
            <wp:extent cx="5499735" cy="7853680"/>
            <wp:effectExtent l="0" t="0" r="571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63">
                      <a:grayscl/>
                    </a:blip>
                    <a:stretch>
                      <a:fillRect/>
                    </a:stretch>
                  </pic:blipFill>
                  <pic:spPr>
                    <a:xfrm>
                      <a:off x="0" y="0"/>
                      <a:ext cx="5501762" cy="7856560"/>
                    </a:xfrm>
                    <a:prstGeom prst="rect">
                      <a:avLst/>
                    </a:prstGeom>
                  </pic:spPr>
                </pic:pic>
              </a:graphicData>
            </a:graphic>
          </wp:inline>
        </w:drawing>
      </w:r>
    </w:p>
    <w:p>
      <w:pPr>
        <w:jc w:val="center"/>
        <w:rPr>
          <w:b/>
          <w:bCs/>
          <w:sz w:val="28"/>
          <w:szCs w:val="28"/>
          <w:lang w:bidi="mn-Mong-CN"/>
        </w:rPr>
      </w:pPr>
      <w:r>
        <w:rPr>
          <w:lang w:bidi="mn-Mong-CN"/>
        </w:rPr>
        <w:drawing>
          <wp:inline distT="0" distB="0" distL="0" distR="0">
            <wp:extent cx="5578475" cy="7960360"/>
            <wp:effectExtent l="0" t="0" r="3175" b="254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64"/>
                    <a:stretch>
                      <a:fillRect/>
                    </a:stretch>
                  </pic:blipFill>
                  <pic:spPr>
                    <a:xfrm>
                      <a:off x="0" y="0"/>
                      <a:ext cx="5585570" cy="7969924"/>
                    </a:xfrm>
                    <a:prstGeom prst="rect">
                      <a:avLst/>
                    </a:prstGeom>
                  </pic:spPr>
                </pic:pic>
              </a:graphicData>
            </a:graphic>
          </wp:inline>
        </w:drawing>
      </w:r>
    </w:p>
    <w:p>
      <w:pPr>
        <w:jc w:val="center"/>
        <w:rPr>
          <w:lang w:bidi="mn-Mong-CN"/>
        </w:rPr>
      </w:pPr>
      <w:r>
        <w:rPr>
          <w:lang w:bidi="mn-Mong-CN"/>
        </w:rPr>
        <w:drawing>
          <wp:inline distT="0" distB="0" distL="0" distR="0">
            <wp:extent cx="5472430" cy="774382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65">
                      <a:grayscl/>
                    </a:blip>
                    <a:stretch>
                      <a:fillRect/>
                    </a:stretch>
                  </pic:blipFill>
                  <pic:spPr>
                    <a:xfrm>
                      <a:off x="0" y="0"/>
                      <a:ext cx="5474335" cy="7746074"/>
                    </a:xfrm>
                    <a:prstGeom prst="rect">
                      <a:avLst/>
                    </a:prstGeom>
                  </pic:spPr>
                </pic:pic>
              </a:graphicData>
            </a:graphic>
          </wp:inline>
        </w:drawing>
      </w:r>
      <w:r>
        <w:rPr>
          <w:lang w:bidi="mn-Mong-CN"/>
        </w:rPr>
        <w:t xml:space="preserve"> </w:t>
      </w:r>
      <w:r>
        <w:rPr>
          <w:lang w:bidi="mn-Mong-CN"/>
        </w:rPr>
        <w:drawing>
          <wp:inline distT="0" distB="0" distL="0" distR="0">
            <wp:extent cx="5479415" cy="7785735"/>
            <wp:effectExtent l="0" t="0" r="6985" b="571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66">
                      <a:grayscl/>
                    </a:blip>
                    <a:stretch>
                      <a:fillRect/>
                    </a:stretch>
                  </pic:blipFill>
                  <pic:spPr>
                    <a:xfrm>
                      <a:off x="0" y="0"/>
                      <a:ext cx="5488088" cy="7797746"/>
                    </a:xfrm>
                    <a:prstGeom prst="rect">
                      <a:avLst/>
                    </a:prstGeom>
                  </pic:spPr>
                </pic:pic>
              </a:graphicData>
            </a:graphic>
          </wp:inline>
        </w:drawing>
      </w:r>
    </w:p>
    <w:p>
      <w:pPr>
        <w:jc w:val="center"/>
        <w:rPr>
          <w:b/>
          <w:bCs/>
          <w:sz w:val="28"/>
          <w:szCs w:val="28"/>
          <w:lang w:bidi="mn-Mong-CN"/>
        </w:rPr>
        <w:sectPr>
          <w:pgSz w:w="11906" w:h="16838"/>
          <w:pgMar w:top="1701" w:right="1531" w:bottom="1701" w:left="1531" w:header="851" w:footer="851" w:gutter="0"/>
          <w:cols w:space="720" w:num="1"/>
          <w:docGrid w:linePitch="312" w:charSpace="0"/>
        </w:sectPr>
      </w:pPr>
      <w:r>
        <w:rPr>
          <w:lang w:bidi="mn-Mong-CN"/>
        </w:rPr>
        <w:drawing>
          <wp:inline distT="0" distB="0" distL="0" distR="0">
            <wp:extent cx="5550535" cy="7879715"/>
            <wp:effectExtent l="0" t="0" r="0" b="698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67">
                      <a:grayscl/>
                    </a:blip>
                    <a:stretch>
                      <a:fillRect/>
                    </a:stretch>
                  </pic:blipFill>
                  <pic:spPr>
                    <a:xfrm>
                      <a:off x="0" y="0"/>
                      <a:ext cx="5554656" cy="7885433"/>
                    </a:xfrm>
                    <a:prstGeom prst="rect">
                      <a:avLst/>
                    </a:prstGeom>
                  </pic:spPr>
                </pic:pic>
              </a:graphicData>
            </a:graphic>
          </wp:inline>
        </w:drawing>
      </w:r>
    </w:p>
    <w:p>
      <w:pPr>
        <w:jc w:val="center"/>
        <w:rPr>
          <w:b/>
          <w:bCs/>
          <w:sz w:val="28"/>
          <w:szCs w:val="28"/>
          <w:lang w:bidi="mn-Mong-CN"/>
        </w:rPr>
      </w:pPr>
      <w:r>
        <w:rPr>
          <w:lang w:bidi="mn-Mong-CN"/>
        </w:rPr>
        <w:drawing>
          <wp:inline distT="0" distB="0" distL="0" distR="0">
            <wp:extent cx="5591810" cy="7959090"/>
            <wp:effectExtent l="0" t="2540" r="6350" b="635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68"/>
                    <a:stretch>
                      <a:fillRect/>
                    </a:stretch>
                  </pic:blipFill>
                  <pic:spPr>
                    <a:xfrm rot="5400000">
                      <a:off x="0" y="0"/>
                      <a:ext cx="5597059" cy="7966782"/>
                    </a:xfrm>
                    <a:prstGeom prst="rect">
                      <a:avLst/>
                    </a:prstGeom>
                  </pic:spPr>
                </pic:pic>
              </a:graphicData>
            </a:graphic>
          </wp:inline>
        </w:drawing>
      </w:r>
    </w:p>
    <w:p>
      <w:pPr>
        <w:jc w:val="center"/>
        <w:rPr>
          <w:b/>
          <w:bCs/>
          <w:sz w:val="28"/>
          <w:szCs w:val="28"/>
          <w:lang w:bidi="mn-Mong-CN"/>
        </w:rPr>
      </w:pPr>
      <w:r>
        <w:rPr>
          <w:lang w:bidi="mn-Mong-CN"/>
        </w:rPr>
        <w:drawing>
          <wp:inline distT="0" distB="0" distL="0" distR="0">
            <wp:extent cx="5589905" cy="7953375"/>
            <wp:effectExtent l="0" t="635"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69"/>
                    <a:stretch>
                      <a:fillRect/>
                    </a:stretch>
                  </pic:blipFill>
                  <pic:spPr>
                    <a:xfrm rot="5400000">
                      <a:off x="0" y="0"/>
                      <a:ext cx="5594787" cy="7960151"/>
                    </a:xfrm>
                    <a:prstGeom prst="rect">
                      <a:avLst/>
                    </a:prstGeom>
                  </pic:spPr>
                </pic:pic>
              </a:graphicData>
            </a:graphic>
          </wp:inline>
        </w:drawing>
      </w:r>
    </w:p>
    <w:p>
      <w:pPr>
        <w:jc w:val="center"/>
        <w:rPr>
          <w:b/>
          <w:bCs/>
          <w:sz w:val="28"/>
          <w:szCs w:val="28"/>
          <w:lang w:bidi="mn-Mong-CN"/>
        </w:rPr>
        <w:sectPr>
          <w:pgSz w:w="16838" w:h="11906" w:orient="landscape"/>
          <w:pgMar w:top="1531" w:right="1701" w:bottom="1531" w:left="1701" w:header="851" w:footer="851" w:gutter="0"/>
          <w:cols w:space="720" w:num="1"/>
          <w:docGrid w:linePitch="312" w:charSpace="0"/>
        </w:sectPr>
      </w:pPr>
    </w:p>
    <w:p>
      <w:pPr>
        <w:jc w:val="center"/>
        <w:rPr>
          <w:b/>
          <w:bCs/>
          <w:sz w:val="28"/>
          <w:szCs w:val="28"/>
          <w:lang w:bidi="mn-Mong-CN"/>
        </w:rPr>
        <w:sectPr>
          <w:pgSz w:w="11906" w:h="16838"/>
          <w:pgMar w:top="1701" w:right="1531" w:bottom="1701" w:left="1531" w:header="851" w:footer="851" w:gutter="0"/>
          <w:cols w:space="720" w:num="1"/>
          <w:docGrid w:linePitch="312" w:charSpace="0"/>
        </w:sectPr>
      </w:pPr>
      <w:r>
        <w:rPr>
          <w:b/>
          <w:bCs/>
          <w:sz w:val="28"/>
          <w:szCs w:val="28"/>
          <w:lang w:bidi="mn-Mong-CN"/>
        </w:rPr>
        <w:pict>
          <v:shape id="_x0000_i1040" o:spt="75" type="#_x0000_t75" style="height:624.9pt;width:441.25pt;" filled="f" o:preferrelative="t" stroked="f" coordsize="21600,21600">
            <v:path/>
            <v:fill on="f" focussize="0,0"/>
            <v:stroke on="f" joinstyle="miter"/>
            <v:imagedata r:id="rId70" o:title="意见签字"/>
            <o:lock v:ext="edit" aspectratio="t"/>
            <w10:wrap type="none"/>
            <w10:anchorlock/>
          </v:shape>
        </w:pict>
      </w:r>
    </w:p>
    <w:p>
      <w:pPr>
        <w:jc w:val="center"/>
        <w:rPr>
          <w:rFonts w:hint="eastAsia" w:eastAsia="宋体"/>
          <w:b/>
          <w:bCs/>
          <w:sz w:val="28"/>
          <w:szCs w:val="28"/>
          <w:lang w:eastAsia="zh-CN" w:bidi="mn-Mong-CN"/>
        </w:rPr>
        <w:sectPr>
          <w:pgSz w:w="11906" w:h="16838"/>
          <w:pgMar w:top="1701" w:right="1531" w:bottom="1701" w:left="1531" w:header="851" w:footer="851" w:gutter="0"/>
          <w:cols w:space="720" w:num="1"/>
          <w:docGrid w:linePitch="312" w:charSpace="0"/>
        </w:sectPr>
      </w:pPr>
      <w:r>
        <w:rPr>
          <w:rFonts w:hint="eastAsia" w:eastAsia="宋体"/>
          <w:b/>
          <w:bCs/>
          <w:sz w:val="28"/>
          <w:szCs w:val="28"/>
          <w:lang w:eastAsia="zh-CN" w:bidi="mn-Mong-CN"/>
        </w:rPr>
        <w:drawing>
          <wp:inline distT="0" distB="0" distL="114300" distR="114300">
            <wp:extent cx="5610860" cy="7917815"/>
            <wp:effectExtent l="0" t="0" r="8890" b="6985"/>
            <wp:docPr id="34" name="图片 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
                    <pic:cNvPicPr>
                      <a:picLocks noChangeAspect="1"/>
                    </pic:cNvPicPr>
                  </pic:nvPicPr>
                  <pic:blipFill>
                    <a:blip r:embed="rId71"/>
                    <a:stretch>
                      <a:fillRect/>
                    </a:stretch>
                  </pic:blipFill>
                  <pic:spPr>
                    <a:xfrm>
                      <a:off x="0" y="0"/>
                      <a:ext cx="5610860" cy="7917815"/>
                    </a:xfrm>
                    <a:prstGeom prst="rect">
                      <a:avLst/>
                    </a:prstGeom>
                  </pic:spPr>
                </pic:pic>
              </a:graphicData>
            </a:graphic>
          </wp:inline>
        </w:drawing>
      </w:r>
    </w:p>
    <w:p>
      <w:pPr>
        <w:jc w:val="center"/>
        <w:rPr>
          <w:b/>
          <w:bCs/>
          <w:sz w:val="28"/>
          <w:szCs w:val="28"/>
          <w:lang w:bidi="mn-Mong-CN"/>
        </w:rPr>
      </w:pPr>
    </w:p>
    <w:p>
      <w:pPr>
        <w:jc w:val="center"/>
        <w:rPr>
          <w:b/>
          <w:bCs/>
          <w:sz w:val="28"/>
          <w:szCs w:val="28"/>
          <w:lang w:bidi="mn-Mong-CN"/>
        </w:rPr>
      </w:pPr>
      <w:r>
        <w:rPr>
          <w:b/>
          <w:bCs/>
          <w:sz w:val="28"/>
          <w:szCs w:val="28"/>
          <w:lang w:bidi="mn-Mong-CN"/>
        </w:rPr>
        <w:drawing>
          <wp:inline distT="0" distB="0" distL="114300" distR="114300">
            <wp:extent cx="5610860" cy="7917815"/>
            <wp:effectExtent l="0" t="0" r="8890" b="6985"/>
            <wp:docPr id="36" name="图片 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3"/>
                    <pic:cNvPicPr>
                      <a:picLocks noChangeAspect="1"/>
                    </pic:cNvPicPr>
                  </pic:nvPicPr>
                  <pic:blipFill>
                    <a:blip r:embed="rId72"/>
                    <a:stretch>
                      <a:fillRect/>
                    </a:stretch>
                  </pic:blipFill>
                  <pic:spPr>
                    <a:xfrm>
                      <a:off x="0" y="0"/>
                      <a:ext cx="5610860" cy="7917815"/>
                    </a:xfrm>
                    <a:prstGeom prst="rect">
                      <a:avLst/>
                    </a:prstGeom>
                  </pic:spPr>
                </pic:pic>
              </a:graphicData>
            </a:graphic>
          </wp:inline>
        </w:drawing>
      </w:r>
      <w:bookmarkStart w:id="3" w:name="_GoBack"/>
      <w:bookmarkEnd w:id="3"/>
      <w:r>
        <w:rPr>
          <w:b/>
          <w:bCs/>
          <w:sz w:val="28"/>
          <w:szCs w:val="28"/>
          <w:lang w:bidi="mn-Mong-CN"/>
        </w:rPr>
        <w:br w:type="page"/>
      </w:r>
    </w:p>
    <w:p>
      <w:pPr>
        <w:jc w:val="center"/>
        <w:rPr>
          <w:b/>
          <w:bCs/>
          <w:sz w:val="28"/>
          <w:szCs w:val="28"/>
          <w:lang w:bidi="mn-Mong-CN"/>
        </w:rPr>
      </w:pPr>
    </w:p>
    <w:p>
      <w:pPr>
        <w:jc w:val="center"/>
        <w:rPr>
          <w:b/>
          <w:bCs/>
          <w:sz w:val="28"/>
          <w:szCs w:val="28"/>
          <w:lang w:bidi="mn-Mong-CN"/>
        </w:rPr>
      </w:pPr>
      <w:r>
        <w:rPr>
          <w:b/>
          <w:bCs/>
          <w:sz w:val="28"/>
          <w:szCs w:val="28"/>
          <w:lang w:bidi="mn-Mong-CN"/>
        </w:rPr>
        <w:pict>
          <v:shape id="_x0000_i1042" o:spt="75" type="#_x0000_t75" style="height:624.9pt;width:443.1pt;" filled="f" o:preferrelative="t" stroked="f" coordsize="21600,21600">
            <v:path/>
            <v:fill on="f" focussize="0,0"/>
            <v:stroke on="f" joinstyle="miter"/>
            <v:imagedata r:id="rId73" o:title="SKMBT_C36421040607550"/>
            <o:lock v:ext="edit" aspectratio="t"/>
            <w10:wrap type="none"/>
            <w10:anchorlock/>
          </v:shape>
        </w:pict>
      </w:r>
    </w:p>
    <w:p>
      <w:pPr>
        <w:jc w:val="center"/>
        <w:rPr>
          <w:b/>
          <w:bCs/>
          <w:sz w:val="28"/>
          <w:szCs w:val="28"/>
          <w:lang w:bidi="mn-Mong-CN"/>
        </w:rPr>
      </w:pPr>
      <w:r>
        <w:rPr>
          <w:b/>
          <w:bCs/>
          <w:sz w:val="28"/>
          <w:szCs w:val="28"/>
          <w:lang w:bidi="mn-Mong-CN"/>
        </w:rPr>
        <w:pict>
          <v:shape id="_x0000_i1043" o:spt="75" type="#_x0000_t75" style="height:624.9pt;width:441.25pt;" filled="f" o:preferrelative="t" stroked="f" coordsize="21600,21600">
            <v:path/>
            <v:fill on="f" focussize="0,0"/>
            <v:stroke on="f" joinstyle="miter"/>
            <v:imagedata r:id="rId74" o:title="承诺书"/>
            <o:lock v:ext="edit" aspectratio="t"/>
            <w10:wrap type="none"/>
            <w10:anchorlock/>
          </v:shape>
        </w:pict>
      </w:r>
    </w:p>
    <w:p>
      <w:pPr>
        <w:rPr>
          <w:lang w:bidi="mn-Mong-CN"/>
        </w:rPr>
      </w:pPr>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Mongolian Baiti">
    <w:panose1 w:val="03000500000000000000"/>
    <w:charset w:val="00"/>
    <w:family w:val="script"/>
    <w:pitch w:val="default"/>
    <w:sig w:usb0="80000023" w:usb1="00000000" w:usb2="00020000" w:usb3="00000000" w:csb0="00000001" w:csb1="00000000"/>
  </w:font>
  <w:font w:name="Tahoma">
    <w:panose1 w:val="020B0604030504040204"/>
    <w:charset w:val="00"/>
    <w:family w:val="swiss"/>
    <w:pitch w:val="default"/>
    <w:sig w:usb0="E1002EFF" w:usb1="C000605B" w:usb2="00000029" w:usb3="00000000" w:csb0="200101FF" w:csb1="20280000"/>
  </w:font>
  <w:font w:name="仿宋_GB2312">
    <w:panose1 w:val="02010609030101010101"/>
    <w:charset w:val="86"/>
    <w:family w:val="modern"/>
    <w:pitch w:val="default"/>
    <w:sig w:usb0="00000001" w:usb1="080E0000" w:usb2="00000000" w:usb3="00000000" w:csb0="00040000" w:csb1="00000000"/>
  </w:font>
  <w:font w:name="Courier New">
    <w:panose1 w:val="02070309020205020404"/>
    <w:charset w:val="00"/>
    <w:family w:val="modern"/>
    <w:pitch w:val="default"/>
    <w:sig w:usb0="E0002AFF" w:usb1="C0007843" w:usb2="00000009" w:usb3="00000000" w:csb0="400001FF" w:csb1="FFFF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MS Gothic">
    <w:panose1 w:val="020B0609070205080204"/>
    <w:charset w:val="80"/>
    <w:family w:val="modern"/>
    <w:pitch w:val="default"/>
    <w:sig w:usb0="E00002FF" w:usb1="6AC7FDFB" w:usb2="00000012" w:usb3="00000000" w:csb0="4002009F" w:csb1="DFD7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framePr w:wrap="around" w:vAnchor="text" w:hAnchor="margin" w:xAlign="center" w:y="1"/>
      <w:rPr>
        <w:rStyle w:val="15"/>
      </w:rPr>
    </w:pPr>
    <w:r>
      <w:fldChar w:fldCharType="begin"/>
    </w:r>
    <w:r>
      <w:rPr>
        <w:rStyle w:val="15"/>
      </w:rPr>
      <w:instrText xml:space="preserve">PAGE  </w:instrText>
    </w:r>
    <w:r>
      <w:fldChar w:fldCharType="end"/>
    </w:r>
  </w:p>
  <w:p>
    <w:pPr>
      <w:pStyle w:val="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left" w:pos="7113"/>
        <w:tab w:val="clear" w:pos="4153"/>
        <w:tab w:val="clear" w:pos="8306"/>
      </w:tabs>
      <w:rPr>
        <w:rStyle w:val="15"/>
        <w:rFonts w:ascii="宋体" w:hAnsi="宋体"/>
        <w:sz w:val="2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framePr w:wrap="around" w:vAnchor="text" w:hAnchor="margin" w:xAlign="right" w:y="-209"/>
      <w:rPr>
        <w:rStyle w:val="15"/>
        <w:rFonts w:ascii="宋体" w:hAnsi="宋体"/>
        <w:sz w:val="28"/>
      </w:rPr>
    </w:pPr>
    <w:r>
      <w:rPr>
        <w:rStyle w:val="15"/>
        <w:rFonts w:hint="eastAsia" w:ascii="宋体" w:hAnsi="宋体"/>
        <w:sz w:val="28"/>
      </w:rPr>
      <w:t xml:space="preserve">—  </w:t>
    </w:r>
    <w:r>
      <w:rPr>
        <w:rStyle w:val="15"/>
        <w:rFonts w:ascii="宋体" w:hAnsi="宋体"/>
        <w:sz w:val="28"/>
      </w:rPr>
      <w:fldChar w:fldCharType="begin"/>
    </w:r>
    <w:r>
      <w:rPr>
        <w:rStyle w:val="15"/>
        <w:rFonts w:ascii="宋体" w:hAnsi="宋体"/>
        <w:sz w:val="28"/>
      </w:rPr>
      <w:instrText xml:space="preserve">PAGE  </w:instrText>
    </w:r>
    <w:r>
      <w:rPr>
        <w:rStyle w:val="15"/>
        <w:rFonts w:ascii="宋体" w:hAnsi="宋体"/>
        <w:sz w:val="28"/>
      </w:rPr>
      <w:fldChar w:fldCharType="separate"/>
    </w:r>
    <w:r>
      <w:rPr>
        <w:rStyle w:val="15"/>
        <w:rFonts w:ascii="宋体" w:hAnsi="宋体"/>
        <w:sz w:val="28"/>
      </w:rPr>
      <w:t>1</w:t>
    </w:r>
    <w:r>
      <w:rPr>
        <w:rStyle w:val="15"/>
        <w:rFonts w:ascii="宋体" w:hAnsi="宋体"/>
        <w:sz w:val="28"/>
      </w:rPr>
      <w:fldChar w:fldCharType="end"/>
    </w:r>
    <w:r>
      <w:rPr>
        <w:rStyle w:val="15"/>
        <w:rFonts w:hint="eastAsia" w:ascii="宋体" w:hAnsi="宋体"/>
        <w:sz w:val="28"/>
      </w:rPr>
      <w:t xml:space="preserve">  —</w:t>
    </w:r>
  </w:p>
  <w:p>
    <w:pPr>
      <w:pStyle w:val="8"/>
      <w:tabs>
        <w:tab w:val="left" w:pos="7113"/>
        <w:tab w:val="clear" w:pos="4153"/>
        <w:tab w:val="clear" w:pos="8306"/>
      </w:tabs>
      <w:rPr>
        <w:rStyle w:val="15"/>
        <w:rFonts w:ascii="宋体" w:hAnsi="宋体"/>
        <w:sz w:val="2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framePr w:wrap="around" w:vAnchor="text" w:hAnchor="margin" w:xAlign="outside" w:y="-209"/>
      <w:rPr>
        <w:rStyle w:val="15"/>
        <w:rFonts w:ascii="宋体" w:hAnsi="宋体"/>
        <w:sz w:val="28"/>
      </w:rPr>
    </w:pPr>
    <w:r>
      <w:rPr>
        <w:rStyle w:val="15"/>
        <w:rFonts w:hint="eastAsia" w:ascii="宋体" w:hAnsi="宋体"/>
        <w:sz w:val="28"/>
      </w:rPr>
      <w:t xml:space="preserve">—  </w:t>
    </w:r>
    <w:r>
      <w:rPr>
        <w:rStyle w:val="15"/>
        <w:rFonts w:ascii="宋体" w:hAnsi="宋体"/>
        <w:sz w:val="28"/>
      </w:rPr>
      <w:fldChar w:fldCharType="begin"/>
    </w:r>
    <w:r>
      <w:rPr>
        <w:rStyle w:val="15"/>
        <w:rFonts w:ascii="宋体" w:hAnsi="宋体"/>
        <w:sz w:val="28"/>
      </w:rPr>
      <w:instrText xml:space="preserve">PAGE  </w:instrText>
    </w:r>
    <w:r>
      <w:rPr>
        <w:rStyle w:val="15"/>
        <w:rFonts w:ascii="宋体" w:hAnsi="宋体"/>
        <w:sz w:val="28"/>
      </w:rPr>
      <w:fldChar w:fldCharType="separate"/>
    </w:r>
    <w:r>
      <w:rPr>
        <w:rStyle w:val="15"/>
        <w:rFonts w:ascii="宋体" w:hAnsi="宋体"/>
        <w:sz w:val="28"/>
      </w:rPr>
      <w:t>12</w:t>
    </w:r>
    <w:r>
      <w:rPr>
        <w:rStyle w:val="15"/>
        <w:rFonts w:ascii="宋体" w:hAnsi="宋体"/>
        <w:sz w:val="28"/>
      </w:rPr>
      <w:fldChar w:fldCharType="end"/>
    </w:r>
    <w:r>
      <w:rPr>
        <w:rStyle w:val="15"/>
        <w:rFonts w:hint="eastAsia" w:ascii="宋体" w:hAnsi="宋体"/>
        <w:sz w:val="28"/>
      </w:rPr>
      <w:t xml:space="preserve">  —</w:t>
    </w:r>
  </w:p>
  <w:p>
    <w:pPr>
      <w:pStyle w:val="8"/>
      <w:tabs>
        <w:tab w:val="left" w:pos="7113"/>
        <w:tab w:val="clear" w:pos="4153"/>
        <w:tab w:val="clear" w:pos="8306"/>
      </w:tabs>
      <w:rPr>
        <w:rStyle w:val="15"/>
        <w:rFonts w:ascii="宋体" w:hAnsi="宋体"/>
        <w:sz w:val="2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framePr w:wrap="around" w:vAnchor="text" w:hAnchor="margin" w:xAlign="outside" w:y="-209"/>
      <w:rPr>
        <w:rStyle w:val="15"/>
        <w:rFonts w:ascii="宋体" w:hAnsi="宋体"/>
        <w:sz w:val="28"/>
      </w:rPr>
    </w:pPr>
    <w:r>
      <w:rPr>
        <w:rStyle w:val="15"/>
        <w:rFonts w:hint="eastAsia" w:ascii="宋体" w:hAnsi="宋体"/>
        <w:sz w:val="28"/>
      </w:rPr>
      <w:t xml:space="preserve">—  </w:t>
    </w:r>
    <w:r>
      <w:rPr>
        <w:rStyle w:val="15"/>
        <w:rFonts w:ascii="宋体" w:hAnsi="宋体"/>
        <w:sz w:val="28"/>
      </w:rPr>
      <w:fldChar w:fldCharType="begin"/>
    </w:r>
    <w:r>
      <w:rPr>
        <w:rStyle w:val="15"/>
        <w:rFonts w:ascii="宋体" w:hAnsi="宋体"/>
        <w:sz w:val="28"/>
      </w:rPr>
      <w:instrText xml:space="preserve">PAGE  </w:instrText>
    </w:r>
    <w:r>
      <w:rPr>
        <w:rStyle w:val="15"/>
        <w:rFonts w:ascii="宋体" w:hAnsi="宋体"/>
        <w:sz w:val="28"/>
      </w:rPr>
      <w:fldChar w:fldCharType="separate"/>
    </w:r>
    <w:r>
      <w:rPr>
        <w:rStyle w:val="15"/>
        <w:rFonts w:ascii="宋体" w:hAnsi="宋体"/>
        <w:sz w:val="28"/>
      </w:rPr>
      <w:t>63</w:t>
    </w:r>
    <w:r>
      <w:rPr>
        <w:rStyle w:val="15"/>
        <w:rFonts w:ascii="宋体" w:hAnsi="宋体"/>
        <w:sz w:val="28"/>
      </w:rPr>
      <w:fldChar w:fldCharType="end"/>
    </w:r>
    <w:r>
      <w:rPr>
        <w:rStyle w:val="15"/>
        <w:rFonts w:hint="eastAsia" w:ascii="宋体" w:hAnsi="宋体"/>
        <w:sz w:val="28"/>
      </w:rPr>
      <w:t xml:space="preserve">  —</w:t>
    </w:r>
  </w:p>
  <w:p>
    <w:pPr>
      <w:pStyle w:val="8"/>
      <w:tabs>
        <w:tab w:val="left" w:pos="7113"/>
        <w:tab w:val="clear" w:pos="4153"/>
        <w:tab w:val="clear" w:pos="8306"/>
      </w:tabs>
      <w:rPr>
        <w:rStyle w:val="15"/>
        <w:rFonts w:ascii="宋体" w:hAnsi="宋体"/>
        <w:sz w:val="2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69D1DAF"/>
    <w:multiLevelType w:val="singleLevel"/>
    <w:tmpl w:val="669D1DA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3C97"/>
    <w:rsid w:val="00003033"/>
    <w:rsid w:val="00004C42"/>
    <w:rsid w:val="000129D4"/>
    <w:rsid w:val="00013CC0"/>
    <w:rsid w:val="00013F93"/>
    <w:rsid w:val="00014749"/>
    <w:rsid w:val="00020682"/>
    <w:rsid w:val="00024D8D"/>
    <w:rsid w:val="00026E25"/>
    <w:rsid w:val="00034A53"/>
    <w:rsid w:val="00040FDD"/>
    <w:rsid w:val="00047A49"/>
    <w:rsid w:val="00053A24"/>
    <w:rsid w:val="00054D7E"/>
    <w:rsid w:val="00057AAE"/>
    <w:rsid w:val="00060E5B"/>
    <w:rsid w:val="0006315D"/>
    <w:rsid w:val="000638DC"/>
    <w:rsid w:val="0006447C"/>
    <w:rsid w:val="00065A16"/>
    <w:rsid w:val="000934EA"/>
    <w:rsid w:val="000B6E2D"/>
    <w:rsid w:val="000C1411"/>
    <w:rsid w:val="000C17D0"/>
    <w:rsid w:val="000C45FE"/>
    <w:rsid w:val="000C7E7A"/>
    <w:rsid w:val="000D06E5"/>
    <w:rsid w:val="000E4127"/>
    <w:rsid w:val="000E48C0"/>
    <w:rsid w:val="000E4FAE"/>
    <w:rsid w:val="000E626A"/>
    <w:rsid w:val="000E6BF6"/>
    <w:rsid w:val="000E6C09"/>
    <w:rsid w:val="000E755C"/>
    <w:rsid w:val="000E7FDE"/>
    <w:rsid w:val="000F189D"/>
    <w:rsid w:val="000F2731"/>
    <w:rsid w:val="000F7DBE"/>
    <w:rsid w:val="000F7F94"/>
    <w:rsid w:val="00100478"/>
    <w:rsid w:val="001038E4"/>
    <w:rsid w:val="00111947"/>
    <w:rsid w:val="00120239"/>
    <w:rsid w:val="00123C3C"/>
    <w:rsid w:val="0012409F"/>
    <w:rsid w:val="001274EF"/>
    <w:rsid w:val="001300F9"/>
    <w:rsid w:val="00144F1A"/>
    <w:rsid w:val="00145DF1"/>
    <w:rsid w:val="001466C2"/>
    <w:rsid w:val="00152594"/>
    <w:rsid w:val="00152DAB"/>
    <w:rsid w:val="001753CE"/>
    <w:rsid w:val="0018792C"/>
    <w:rsid w:val="001924DD"/>
    <w:rsid w:val="00192BFF"/>
    <w:rsid w:val="001A1491"/>
    <w:rsid w:val="001B2196"/>
    <w:rsid w:val="001B6B18"/>
    <w:rsid w:val="001C24BB"/>
    <w:rsid w:val="001D0D62"/>
    <w:rsid w:val="001E124A"/>
    <w:rsid w:val="001E644D"/>
    <w:rsid w:val="001F1B65"/>
    <w:rsid w:val="001F5E17"/>
    <w:rsid w:val="002060B0"/>
    <w:rsid w:val="00207314"/>
    <w:rsid w:val="00207322"/>
    <w:rsid w:val="00210741"/>
    <w:rsid w:val="00214C2B"/>
    <w:rsid w:val="00215594"/>
    <w:rsid w:val="00222150"/>
    <w:rsid w:val="00225C2F"/>
    <w:rsid w:val="002272B5"/>
    <w:rsid w:val="00245D5A"/>
    <w:rsid w:val="00270A08"/>
    <w:rsid w:val="0027463B"/>
    <w:rsid w:val="00284320"/>
    <w:rsid w:val="002915E7"/>
    <w:rsid w:val="00294DE5"/>
    <w:rsid w:val="002A4A6F"/>
    <w:rsid w:val="002A55B3"/>
    <w:rsid w:val="002B5803"/>
    <w:rsid w:val="002C3349"/>
    <w:rsid w:val="002C57D5"/>
    <w:rsid w:val="002C786F"/>
    <w:rsid w:val="002D1490"/>
    <w:rsid w:val="002E0870"/>
    <w:rsid w:val="002E2FFB"/>
    <w:rsid w:val="002E5445"/>
    <w:rsid w:val="002F1538"/>
    <w:rsid w:val="002F1C46"/>
    <w:rsid w:val="00301C3C"/>
    <w:rsid w:val="00315B77"/>
    <w:rsid w:val="00327B6C"/>
    <w:rsid w:val="00330D61"/>
    <w:rsid w:val="00331C97"/>
    <w:rsid w:val="00335458"/>
    <w:rsid w:val="00347C2C"/>
    <w:rsid w:val="00347D40"/>
    <w:rsid w:val="00351EFE"/>
    <w:rsid w:val="00356CDE"/>
    <w:rsid w:val="00365486"/>
    <w:rsid w:val="00371130"/>
    <w:rsid w:val="00384296"/>
    <w:rsid w:val="00385987"/>
    <w:rsid w:val="00386509"/>
    <w:rsid w:val="003868FA"/>
    <w:rsid w:val="00387415"/>
    <w:rsid w:val="003A253D"/>
    <w:rsid w:val="003B0DAB"/>
    <w:rsid w:val="003B3B49"/>
    <w:rsid w:val="003B3BFE"/>
    <w:rsid w:val="003B48AD"/>
    <w:rsid w:val="003B68FE"/>
    <w:rsid w:val="003C0B8F"/>
    <w:rsid w:val="003C1CEE"/>
    <w:rsid w:val="003C3F8D"/>
    <w:rsid w:val="003E0009"/>
    <w:rsid w:val="003E0F5D"/>
    <w:rsid w:val="003E2BAA"/>
    <w:rsid w:val="00400E07"/>
    <w:rsid w:val="00401D3B"/>
    <w:rsid w:val="0040266B"/>
    <w:rsid w:val="004115FF"/>
    <w:rsid w:val="00417A3F"/>
    <w:rsid w:val="004218F2"/>
    <w:rsid w:val="0042320C"/>
    <w:rsid w:val="00433FC0"/>
    <w:rsid w:val="00434E80"/>
    <w:rsid w:val="004353AA"/>
    <w:rsid w:val="00436CC7"/>
    <w:rsid w:val="004411DC"/>
    <w:rsid w:val="00446CD1"/>
    <w:rsid w:val="00452E2F"/>
    <w:rsid w:val="004567FB"/>
    <w:rsid w:val="00456E6A"/>
    <w:rsid w:val="00457724"/>
    <w:rsid w:val="00460D0E"/>
    <w:rsid w:val="00461381"/>
    <w:rsid w:val="00461AB3"/>
    <w:rsid w:val="00486B64"/>
    <w:rsid w:val="004960E1"/>
    <w:rsid w:val="004A7A45"/>
    <w:rsid w:val="004C1079"/>
    <w:rsid w:val="004C7B5C"/>
    <w:rsid w:val="004D2826"/>
    <w:rsid w:val="004D4241"/>
    <w:rsid w:val="004D4336"/>
    <w:rsid w:val="004D5A35"/>
    <w:rsid w:val="004D5F4C"/>
    <w:rsid w:val="004E3E70"/>
    <w:rsid w:val="00506E35"/>
    <w:rsid w:val="00511257"/>
    <w:rsid w:val="00512F8B"/>
    <w:rsid w:val="00517256"/>
    <w:rsid w:val="00527544"/>
    <w:rsid w:val="00534E6E"/>
    <w:rsid w:val="00535307"/>
    <w:rsid w:val="005366C8"/>
    <w:rsid w:val="0054288B"/>
    <w:rsid w:val="005467AE"/>
    <w:rsid w:val="00547EDB"/>
    <w:rsid w:val="00550CF2"/>
    <w:rsid w:val="00553896"/>
    <w:rsid w:val="00554534"/>
    <w:rsid w:val="005547DF"/>
    <w:rsid w:val="00556644"/>
    <w:rsid w:val="00560129"/>
    <w:rsid w:val="00565133"/>
    <w:rsid w:val="00580AD0"/>
    <w:rsid w:val="00584231"/>
    <w:rsid w:val="005A63F9"/>
    <w:rsid w:val="005B260E"/>
    <w:rsid w:val="005B7FE1"/>
    <w:rsid w:val="005C08F7"/>
    <w:rsid w:val="005D1B6F"/>
    <w:rsid w:val="005D6E68"/>
    <w:rsid w:val="005D7F4E"/>
    <w:rsid w:val="005E7111"/>
    <w:rsid w:val="005F0A27"/>
    <w:rsid w:val="005F1106"/>
    <w:rsid w:val="005F1158"/>
    <w:rsid w:val="0061381C"/>
    <w:rsid w:val="00616D2D"/>
    <w:rsid w:val="00635DCB"/>
    <w:rsid w:val="0063727A"/>
    <w:rsid w:val="00640A9C"/>
    <w:rsid w:val="00642BF5"/>
    <w:rsid w:val="00645E37"/>
    <w:rsid w:val="00653B63"/>
    <w:rsid w:val="00672AF0"/>
    <w:rsid w:val="006735A4"/>
    <w:rsid w:val="00674B15"/>
    <w:rsid w:val="0067628A"/>
    <w:rsid w:val="00677E20"/>
    <w:rsid w:val="00681B08"/>
    <w:rsid w:val="00682271"/>
    <w:rsid w:val="00693595"/>
    <w:rsid w:val="00694C13"/>
    <w:rsid w:val="006A534A"/>
    <w:rsid w:val="006A5A8A"/>
    <w:rsid w:val="006B26B6"/>
    <w:rsid w:val="006B59AF"/>
    <w:rsid w:val="006C2C13"/>
    <w:rsid w:val="006C5B2C"/>
    <w:rsid w:val="006E1031"/>
    <w:rsid w:val="006E2AD0"/>
    <w:rsid w:val="006F0649"/>
    <w:rsid w:val="006F1023"/>
    <w:rsid w:val="006F27AF"/>
    <w:rsid w:val="006F6306"/>
    <w:rsid w:val="00705311"/>
    <w:rsid w:val="00710E77"/>
    <w:rsid w:val="007113AE"/>
    <w:rsid w:val="007123AC"/>
    <w:rsid w:val="00714055"/>
    <w:rsid w:val="00716D7F"/>
    <w:rsid w:val="00720E20"/>
    <w:rsid w:val="00732208"/>
    <w:rsid w:val="0073323F"/>
    <w:rsid w:val="007421EE"/>
    <w:rsid w:val="00760E1A"/>
    <w:rsid w:val="0076188E"/>
    <w:rsid w:val="0077164E"/>
    <w:rsid w:val="0077236C"/>
    <w:rsid w:val="00773101"/>
    <w:rsid w:val="0078047D"/>
    <w:rsid w:val="00796977"/>
    <w:rsid w:val="00796AD3"/>
    <w:rsid w:val="007A0792"/>
    <w:rsid w:val="007A565B"/>
    <w:rsid w:val="007B0201"/>
    <w:rsid w:val="007B41F1"/>
    <w:rsid w:val="007B6C0F"/>
    <w:rsid w:val="007C533F"/>
    <w:rsid w:val="007D2833"/>
    <w:rsid w:val="007D703D"/>
    <w:rsid w:val="007E23FD"/>
    <w:rsid w:val="007F3BE0"/>
    <w:rsid w:val="007F6EB7"/>
    <w:rsid w:val="00801D16"/>
    <w:rsid w:val="008033D8"/>
    <w:rsid w:val="008048E4"/>
    <w:rsid w:val="008060EF"/>
    <w:rsid w:val="008117EA"/>
    <w:rsid w:val="00830E56"/>
    <w:rsid w:val="00844415"/>
    <w:rsid w:val="00845DBF"/>
    <w:rsid w:val="00852247"/>
    <w:rsid w:val="008558A2"/>
    <w:rsid w:val="00866171"/>
    <w:rsid w:val="00866CCF"/>
    <w:rsid w:val="008679E4"/>
    <w:rsid w:val="00870CB4"/>
    <w:rsid w:val="00886C09"/>
    <w:rsid w:val="0089529D"/>
    <w:rsid w:val="00896BD0"/>
    <w:rsid w:val="008B324D"/>
    <w:rsid w:val="008C256E"/>
    <w:rsid w:val="008C2F01"/>
    <w:rsid w:val="008C3808"/>
    <w:rsid w:val="008C4733"/>
    <w:rsid w:val="008E1CE2"/>
    <w:rsid w:val="008E4360"/>
    <w:rsid w:val="008E53B9"/>
    <w:rsid w:val="008F15A7"/>
    <w:rsid w:val="008F459B"/>
    <w:rsid w:val="008F60EA"/>
    <w:rsid w:val="008F6672"/>
    <w:rsid w:val="00902349"/>
    <w:rsid w:val="0090358D"/>
    <w:rsid w:val="00904A3B"/>
    <w:rsid w:val="009071CA"/>
    <w:rsid w:val="009157F1"/>
    <w:rsid w:val="00920AEC"/>
    <w:rsid w:val="00924232"/>
    <w:rsid w:val="00924A1A"/>
    <w:rsid w:val="00925E1B"/>
    <w:rsid w:val="00926CDE"/>
    <w:rsid w:val="00930C6F"/>
    <w:rsid w:val="00931285"/>
    <w:rsid w:val="00936E12"/>
    <w:rsid w:val="0094798F"/>
    <w:rsid w:val="00955A77"/>
    <w:rsid w:val="00955BCA"/>
    <w:rsid w:val="00962171"/>
    <w:rsid w:val="00966A97"/>
    <w:rsid w:val="0097409A"/>
    <w:rsid w:val="0098191D"/>
    <w:rsid w:val="00982ECF"/>
    <w:rsid w:val="009859BA"/>
    <w:rsid w:val="009A15E5"/>
    <w:rsid w:val="009A295F"/>
    <w:rsid w:val="009A5162"/>
    <w:rsid w:val="009A58D3"/>
    <w:rsid w:val="009A69C1"/>
    <w:rsid w:val="009B2C2F"/>
    <w:rsid w:val="009B2FAC"/>
    <w:rsid w:val="009C19F8"/>
    <w:rsid w:val="009C31B4"/>
    <w:rsid w:val="009D1232"/>
    <w:rsid w:val="009E4EEE"/>
    <w:rsid w:val="009E6883"/>
    <w:rsid w:val="009F3E13"/>
    <w:rsid w:val="009F5E8A"/>
    <w:rsid w:val="00A01CEB"/>
    <w:rsid w:val="00A157A2"/>
    <w:rsid w:val="00A1755A"/>
    <w:rsid w:val="00A22CBE"/>
    <w:rsid w:val="00A46199"/>
    <w:rsid w:val="00A470DA"/>
    <w:rsid w:val="00A5133B"/>
    <w:rsid w:val="00A548CE"/>
    <w:rsid w:val="00A63A66"/>
    <w:rsid w:val="00A64953"/>
    <w:rsid w:val="00A70C1E"/>
    <w:rsid w:val="00A774B4"/>
    <w:rsid w:val="00A80791"/>
    <w:rsid w:val="00A81172"/>
    <w:rsid w:val="00A81D1D"/>
    <w:rsid w:val="00A82EB0"/>
    <w:rsid w:val="00A84F79"/>
    <w:rsid w:val="00A91658"/>
    <w:rsid w:val="00A94068"/>
    <w:rsid w:val="00A94998"/>
    <w:rsid w:val="00AA304C"/>
    <w:rsid w:val="00AA3191"/>
    <w:rsid w:val="00AC0196"/>
    <w:rsid w:val="00AC6679"/>
    <w:rsid w:val="00AD681F"/>
    <w:rsid w:val="00AD6F1C"/>
    <w:rsid w:val="00AE1475"/>
    <w:rsid w:val="00AE6472"/>
    <w:rsid w:val="00AE679B"/>
    <w:rsid w:val="00AE72D8"/>
    <w:rsid w:val="00B0288F"/>
    <w:rsid w:val="00B039B2"/>
    <w:rsid w:val="00B1588C"/>
    <w:rsid w:val="00B16A57"/>
    <w:rsid w:val="00B25C2C"/>
    <w:rsid w:val="00B30399"/>
    <w:rsid w:val="00B30C5B"/>
    <w:rsid w:val="00B32B3B"/>
    <w:rsid w:val="00B45B21"/>
    <w:rsid w:val="00B558D4"/>
    <w:rsid w:val="00B56B6C"/>
    <w:rsid w:val="00B644C9"/>
    <w:rsid w:val="00B72514"/>
    <w:rsid w:val="00B7571C"/>
    <w:rsid w:val="00BA26F5"/>
    <w:rsid w:val="00BA68C1"/>
    <w:rsid w:val="00BA6ADF"/>
    <w:rsid w:val="00BB5150"/>
    <w:rsid w:val="00BB7993"/>
    <w:rsid w:val="00BC033D"/>
    <w:rsid w:val="00BC5C48"/>
    <w:rsid w:val="00BD1FEA"/>
    <w:rsid w:val="00BD56A6"/>
    <w:rsid w:val="00BD613B"/>
    <w:rsid w:val="00BD6AC1"/>
    <w:rsid w:val="00BE0E97"/>
    <w:rsid w:val="00BE28D0"/>
    <w:rsid w:val="00BE3135"/>
    <w:rsid w:val="00BF2B71"/>
    <w:rsid w:val="00C0244D"/>
    <w:rsid w:val="00C0721B"/>
    <w:rsid w:val="00C11D09"/>
    <w:rsid w:val="00C239E5"/>
    <w:rsid w:val="00C31C8C"/>
    <w:rsid w:val="00C31F05"/>
    <w:rsid w:val="00C3298A"/>
    <w:rsid w:val="00C359DD"/>
    <w:rsid w:val="00C36CC6"/>
    <w:rsid w:val="00C40C19"/>
    <w:rsid w:val="00C4499C"/>
    <w:rsid w:val="00C52522"/>
    <w:rsid w:val="00C6083E"/>
    <w:rsid w:val="00C61922"/>
    <w:rsid w:val="00C61A35"/>
    <w:rsid w:val="00C638C3"/>
    <w:rsid w:val="00C65AF8"/>
    <w:rsid w:val="00C65EC9"/>
    <w:rsid w:val="00C71CC2"/>
    <w:rsid w:val="00C90399"/>
    <w:rsid w:val="00C9381C"/>
    <w:rsid w:val="00CA25B6"/>
    <w:rsid w:val="00CA68A8"/>
    <w:rsid w:val="00CB39F2"/>
    <w:rsid w:val="00CB3FDF"/>
    <w:rsid w:val="00CB5D57"/>
    <w:rsid w:val="00CC141E"/>
    <w:rsid w:val="00CC24E4"/>
    <w:rsid w:val="00CC25BF"/>
    <w:rsid w:val="00CD5561"/>
    <w:rsid w:val="00CD5AAF"/>
    <w:rsid w:val="00CE2880"/>
    <w:rsid w:val="00CF0BAC"/>
    <w:rsid w:val="00CF6FA2"/>
    <w:rsid w:val="00CF75CE"/>
    <w:rsid w:val="00D05085"/>
    <w:rsid w:val="00D05EBD"/>
    <w:rsid w:val="00D06AB3"/>
    <w:rsid w:val="00D12630"/>
    <w:rsid w:val="00D148CC"/>
    <w:rsid w:val="00D1493A"/>
    <w:rsid w:val="00D21872"/>
    <w:rsid w:val="00D27A4D"/>
    <w:rsid w:val="00D315D3"/>
    <w:rsid w:val="00D34B30"/>
    <w:rsid w:val="00D3665E"/>
    <w:rsid w:val="00D47164"/>
    <w:rsid w:val="00D476EE"/>
    <w:rsid w:val="00D532F2"/>
    <w:rsid w:val="00D53C01"/>
    <w:rsid w:val="00D56768"/>
    <w:rsid w:val="00D63689"/>
    <w:rsid w:val="00D72B89"/>
    <w:rsid w:val="00D731ED"/>
    <w:rsid w:val="00D732C4"/>
    <w:rsid w:val="00D75056"/>
    <w:rsid w:val="00D752BC"/>
    <w:rsid w:val="00D82949"/>
    <w:rsid w:val="00D83BFC"/>
    <w:rsid w:val="00DA1D23"/>
    <w:rsid w:val="00DA32AA"/>
    <w:rsid w:val="00DA3E40"/>
    <w:rsid w:val="00DA733F"/>
    <w:rsid w:val="00DC5090"/>
    <w:rsid w:val="00DD1D7D"/>
    <w:rsid w:val="00DD7A6C"/>
    <w:rsid w:val="00DE2319"/>
    <w:rsid w:val="00DE3D27"/>
    <w:rsid w:val="00DE7B04"/>
    <w:rsid w:val="00DF0C33"/>
    <w:rsid w:val="00DF3328"/>
    <w:rsid w:val="00DF62FC"/>
    <w:rsid w:val="00E05691"/>
    <w:rsid w:val="00E1276C"/>
    <w:rsid w:val="00E16CA9"/>
    <w:rsid w:val="00E220BB"/>
    <w:rsid w:val="00E222FC"/>
    <w:rsid w:val="00E22622"/>
    <w:rsid w:val="00E321CE"/>
    <w:rsid w:val="00E557F1"/>
    <w:rsid w:val="00E60E04"/>
    <w:rsid w:val="00E63335"/>
    <w:rsid w:val="00E67C8D"/>
    <w:rsid w:val="00E71FEE"/>
    <w:rsid w:val="00E732DF"/>
    <w:rsid w:val="00E861F5"/>
    <w:rsid w:val="00E903C2"/>
    <w:rsid w:val="00E908E7"/>
    <w:rsid w:val="00E93079"/>
    <w:rsid w:val="00EA34F3"/>
    <w:rsid w:val="00EA51ED"/>
    <w:rsid w:val="00EB04CA"/>
    <w:rsid w:val="00EB12AA"/>
    <w:rsid w:val="00EB27C4"/>
    <w:rsid w:val="00EB54B9"/>
    <w:rsid w:val="00EC0B3F"/>
    <w:rsid w:val="00EC1522"/>
    <w:rsid w:val="00ED1641"/>
    <w:rsid w:val="00ED18EF"/>
    <w:rsid w:val="00ED29DA"/>
    <w:rsid w:val="00EE4328"/>
    <w:rsid w:val="00EF64F3"/>
    <w:rsid w:val="00EF7521"/>
    <w:rsid w:val="00F03EA5"/>
    <w:rsid w:val="00F138B2"/>
    <w:rsid w:val="00F25AE3"/>
    <w:rsid w:val="00F30C69"/>
    <w:rsid w:val="00F316E6"/>
    <w:rsid w:val="00F33460"/>
    <w:rsid w:val="00F33C97"/>
    <w:rsid w:val="00F34958"/>
    <w:rsid w:val="00F37E76"/>
    <w:rsid w:val="00F41521"/>
    <w:rsid w:val="00F4325A"/>
    <w:rsid w:val="00F534AD"/>
    <w:rsid w:val="00F734DE"/>
    <w:rsid w:val="00F75EFE"/>
    <w:rsid w:val="00F845D3"/>
    <w:rsid w:val="00FB2F44"/>
    <w:rsid w:val="00FB5999"/>
    <w:rsid w:val="00FB5C3A"/>
    <w:rsid w:val="00FC63EA"/>
    <w:rsid w:val="00FC7B77"/>
    <w:rsid w:val="00FD0647"/>
    <w:rsid w:val="00FD2042"/>
    <w:rsid w:val="00FD537E"/>
    <w:rsid w:val="00FF545D"/>
    <w:rsid w:val="00FF6C1D"/>
    <w:rsid w:val="54703A0D"/>
  </w:rsids>
  <m:mathPr>
    <m:mathFont m:val="Cambria Math"/>
    <m:brkBin m:val="before"/>
    <m:brkBinSub m:val="--"/>
    <m:smallFrac m:val="0"/>
    <m:dispDef/>
    <m:lMargin m:val="0"/>
    <m:rMargin m:val="0"/>
    <m:defJc m:val="centerGroup"/>
    <m:wrapIndent m:val="1440"/>
    <m:intLim m:val="subSup"/>
    <m:naryLim m:val="undOvr"/>
  </m:mathPr>
  <w:themeFontLang w:val="en-US" w:eastAsia="zh-CN" w:bidi="mn-Mong-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nhideWhenUsed="0"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qFormat="1" w:unhideWhenUsed="0" w:uiPriority="0" w:semiHidden="0"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2">
    <w:name w:val="caption"/>
    <w:basedOn w:val="1"/>
    <w:next w:val="1"/>
    <w:unhideWhenUsed/>
    <w:qFormat/>
    <w:uiPriority w:val="35"/>
    <w:rPr>
      <w:rFonts w:eastAsia="黑体" w:asciiTheme="majorHAnsi" w:hAnsiTheme="majorHAnsi" w:cstheme="majorBidi"/>
      <w:sz w:val="20"/>
      <w:szCs w:val="20"/>
    </w:rPr>
  </w:style>
  <w:style w:type="paragraph" w:styleId="3">
    <w:name w:val="Body Text"/>
    <w:basedOn w:val="1"/>
    <w:link w:val="34"/>
    <w:semiHidden/>
    <w:unhideWhenUsed/>
    <w:qFormat/>
    <w:uiPriority w:val="99"/>
    <w:pPr>
      <w:spacing w:after="120"/>
    </w:pPr>
  </w:style>
  <w:style w:type="paragraph" w:styleId="4">
    <w:name w:val="Body Text Indent"/>
    <w:basedOn w:val="1"/>
    <w:link w:val="29"/>
    <w:semiHidden/>
    <w:unhideWhenUsed/>
    <w:qFormat/>
    <w:uiPriority w:val="99"/>
    <w:pPr>
      <w:spacing w:after="120"/>
      <w:ind w:left="420" w:leftChars="200"/>
    </w:pPr>
  </w:style>
  <w:style w:type="paragraph" w:styleId="5">
    <w:name w:val="Block Text"/>
    <w:basedOn w:val="1"/>
    <w:qFormat/>
    <w:uiPriority w:val="0"/>
    <w:pPr>
      <w:snapToGrid w:val="0"/>
      <w:spacing w:line="420" w:lineRule="exact"/>
      <w:ind w:left="101" w:leftChars="48" w:right="149" w:rightChars="71" w:firstLine="426" w:firstLineChars="203"/>
    </w:pPr>
    <w:rPr>
      <w:color w:val="000000"/>
      <w:spacing w:val="4"/>
      <w:sz w:val="24"/>
    </w:rPr>
  </w:style>
  <w:style w:type="paragraph" w:styleId="6">
    <w:name w:val="Plain Text"/>
    <w:basedOn w:val="1"/>
    <w:link w:val="31"/>
    <w:unhideWhenUsed/>
    <w:qFormat/>
    <w:uiPriority w:val="0"/>
    <w:rPr>
      <w:rFonts w:ascii="宋体" w:hAnsi="Courier New" w:cs="Mongolian Baiti"/>
      <w:szCs w:val="21"/>
    </w:rPr>
  </w:style>
  <w:style w:type="paragraph" w:styleId="7">
    <w:name w:val="Balloon Text"/>
    <w:basedOn w:val="1"/>
    <w:link w:val="26"/>
    <w:semiHidden/>
    <w:unhideWhenUsed/>
    <w:qFormat/>
    <w:uiPriority w:val="99"/>
    <w:rPr>
      <w:sz w:val="18"/>
      <w:szCs w:val="18"/>
    </w:rPr>
  </w:style>
  <w:style w:type="paragraph" w:styleId="8">
    <w:name w:val="footer"/>
    <w:basedOn w:val="1"/>
    <w:link w:val="16"/>
    <w:qFormat/>
    <w:uiPriority w:val="99"/>
    <w:pPr>
      <w:tabs>
        <w:tab w:val="center" w:pos="4153"/>
        <w:tab w:val="right" w:pos="8306"/>
      </w:tabs>
      <w:snapToGrid w:val="0"/>
      <w:jc w:val="left"/>
    </w:pPr>
    <w:rPr>
      <w:rFonts w:asciiTheme="minorHAnsi" w:hAnsiTheme="minorHAnsi" w:eastAsiaTheme="minorEastAsia" w:cstheme="minorBidi"/>
      <w:sz w:val="18"/>
      <w:szCs w:val="28"/>
      <w:lang w:bidi="mn-Mong-CN"/>
    </w:rPr>
  </w:style>
  <w:style w:type="paragraph" w:styleId="9">
    <w:name w:val="header"/>
    <w:basedOn w:val="1"/>
    <w:link w:val="21"/>
    <w:unhideWhenUsed/>
    <w:qFormat/>
    <w:uiPriority w:val="99"/>
    <w:pPr>
      <w:tabs>
        <w:tab w:val="center" w:pos="4153"/>
        <w:tab w:val="right" w:pos="8306"/>
      </w:tabs>
      <w:snapToGrid w:val="0"/>
      <w:jc w:val="center"/>
    </w:pPr>
    <w:rPr>
      <w:sz w:val="18"/>
      <w:szCs w:val="18"/>
    </w:rPr>
  </w:style>
  <w:style w:type="paragraph" w:styleId="10">
    <w:name w:val="Normal (Web)"/>
    <w:basedOn w:val="1"/>
    <w:link w:val="17"/>
    <w:qFormat/>
    <w:uiPriority w:val="99"/>
    <w:pPr>
      <w:widowControl/>
      <w:spacing w:before="100" w:beforeAutospacing="1" w:after="100" w:afterAutospacing="1"/>
      <w:jc w:val="left"/>
    </w:pPr>
    <w:rPr>
      <w:rFonts w:ascii="宋体" w:hAnsi="宋体" w:cstheme="minorBidi"/>
      <w:sz w:val="24"/>
      <w:szCs w:val="28"/>
      <w:lang w:bidi="mn-Mong-CN"/>
    </w:rPr>
  </w:style>
  <w:style w:type="paragraph" w:styleId="11">
    <w:name w:val="Body Text First Indent 2"/>
    <w:basedOn w:val="1"/>
    <w:next w:val="1"/>
    <w:link w:val="30"/>
    <w:qFormat/>
    <w:uiPriority w:val="0"/>
    <w:pPr>
      <w:spacing w:line="360" w:lineRule="auto"/>
      <w:ind w:firstLine="420" w:firstLineChars="200"/>
      <w:jc w:val="left"/>
    </w:pPr>
    <w:rPr>
      <w:color w:val="000000"/>
      <w:spacing w:val="4"/>
      <w:sz w:val="24"/>
    </w:rPr>
  </w:style>
  <w:style w:type="table" w:styleId="13">
    <w:name w:val="Table Grid"/>
    <w:basedOn w:val="1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page number"/>
    <w:basedOn w:val="14"/>
    <w:uiPriority w:val="0"/>
  </w:style>
  <w:style w:type="character" w:customStyle="1" w:styleId="16">
    <w:name w:val="页脚 Char"/>
    <w:link w:val="8"/>
    <w:qFormat/>
    <w:locked/>
    <w:uiPriority w:val="99"/>
    <w:rPr>
      <w:sz w:val="18"/>
    </w:rPr>
  </w:style>
  <w:style w:type="character" w:customStyle="1" w:styleId="17">
    <w:name w:val="普通(网站) Char"/>
    <w:link w:val="10"/>
    <w:qFormat/>
    <w:locked/>
    <w:uiPriority w:val="0"/>
    <w:rPr>
      <w:rFonts w:ascii="宋体" w:hAnsi="宋体" w:eastAsia="宋体"/>
      <w:sz w:val="24"/>
    </w:rPr>
  </w:style>
  <w:style w:type="character" w:customStyle="1" w:styleId="18">
    <w:name w:val="表格 Char"/>
    <w:link w:val="19"/>
    <w:locked/>
    <w:uiPriority w:val="0"/>
    <w:rPr>
      <w:rFonts w:ascii="宋体"/>
    </w:rPr>
  </w:style>
  <w:style w:type="paragraph" w:customStyle="1" w:styleId="19">
    <w:name w:val="表格"/>
    <w:basedOn w:val="1"/>
    <w:next w:val="1"/>
    <w:link w:val="18"/>
    <w:uiPriority w:val="0"/>
    <w:pPr>
      <w:adjustRightInd w:val="0"/>
      <w:snapToGrid w:val="0"/>
      <w:spacing w:beforeLines="10" w:afterLines="10" w:line="259" w:lineRule="auto"/>
      <w:jc w:val="center"/>
    </w:pPr>
    <w:rPr>
      <w:rFonts w:ascii="宋体" w:hAnsiTheme="minorHAnsi" w:eastAsiaTheme="minorEastAsia" w:cstheme="minorBidi"/>
      <w:szCs w:val="28"/>
      <w:lang w:bidi="mn-Mong-CN"/>
    </w:rPr>
  </w:style>
  <w:style w:type="character" w:customStyle="1" w:styleId="20">
    <w:name w:val="页脚 Char1"/>
    <w:basedOn w:val="14"/>
    <w:semiHidden/>
    <w:uiPriority w:val="99"/>
    <w:rPr>
      <w:rFonts w:ascii="Times New Roman" w:hAnsi="Times New Roman" w:eastAsia="宋体" w:cs="Times New Roman"/>
      <w:sz w:val="18"/>
      <w:szCs w:val="18"/>
      <w:lang w:bidi="ar-SA"/>
    </w:rPr>
  </w:style>
  <w:style w:type="character" w:customStyle="1" w:styleId="21">
    <w:name w:val="页眉 Char"/>
    <w:basedOn w:val="14"/>
    <w:link w:val="9"/>
    <w:qFormat/>
    <w:uiPriority w:val="99"/>
    <w:rPr>
      <w:rFonts w:ascii="Times New Roman" w:hAnsi="Times New Roman" w:eastAsia="宋体" w:cs="Times New Roman"/>
      <w:sz w:val="18"/>
      <w:szCs w:val="18"/>
      <w:lang w:bidi="ar-SA"/>
    </w:rPr>
  </w:style>
  <w:style w:type="paragraph" w:customStyle="1" w:styleId="22">
    <w:name w:val="Default2"/>
    <w:qFormat/>
    <w:uiPriority w:val="0"/>
    <w:pPr>
      <w:widowControl w:val="0"/>
      <w:autoSpaceDE w:val="0"/>
      <w:autoSpaceDN w:val="0"/>
      <w:adjustRightInd w:val="0"/>
    </w:pPr>
    <w:rPr>
      <w:rFonts w:ascii="Tahoma" w:hAnsi="Tahoma" w:eastAsia="宋体" w:cs="Tahoma"/>
      <w:color w:val="000000"/>
      <w:kern w:val="0"/>
      <w:sz w:val="24"/>
      <w:szCs w:val="24"/>
      <w:lang w:val="en-US" w:eastAsia="zh-CN" w:bidi="ar-SA"/>
    </w:rPr>
  </w:style>
  <w:style w:type="paragraph" w:customStyle="1" w:styleId="23">
    <w:name w:val="Default"/>
    <w:qFormat/>
    <w:uiPriority w:val="0"/>
    <w:pPr>
      <w:widowControl w:val="0"/>
      <w:autoSpaceDE w:val="0"/>
      <w:autoSpaceDN w:val="0"/>
      <w:adjustRightInd w:val="0"/>
    </w:pPr>
    <w:rPr>
      <w:rFonts w:ascii="仿宋_GB2312" w:hAnsi="Times New Roman" w:eastAsia="仿宋_GB2312" w:cs="仿宋_GB2312"/>
      <w:color w:val="000000"/>
      <w:spacing w:val="4"/>
      <w:kern w:val="2"/>
      <w:sz w:val="24"/>
      <w:szCs w:val="24"/>
      <w:lang w:val="en-US" w:eastAsia="zh-CN" w:bidi="ar-SA"/>
    </w:rPr>
  </w:style>
  <w:style w:type="paragraph" w:customStyle="1" w:styleId="24">
    <w:name w:val="正文内容"/>
    <w:qFormat/>
    <w:uiPriority w:val="0"/>
    <w:pPr>
      <w:widowControl w:val="0"/>
      <w:snapToGrid w:val="0"/>
      <w:spacing w:before="60" w:after="60" w:line="440" w:lineRule="exact"/>
      <w:ind w:firstLine="200" w:firstLineChars="200"/>
      <w:jc w:val="both"/>
    </w:pPr>
    <w:rPr>
      <w:rFonts w:ascii="宋体" w:hAnsi="宋体" w:eastAsia="宋体" w:cs="Times New Roman"/>
      <w:kern w:val="0"/>
      <w:sz w:val="24"/>
      <w:szCs w:val="24"/>
      <w:lang w:val="en-US" w:eastAsia="zh-CN" w:bidi="ar-SA"/>
    </w:rPr>
  </w:style>
  <w:style w:type="paragraph" w:styleId="25">
    <w:name w:val="List Paragraph"/>
    <w:basedOn w:val="1"/>
    <w:qFormat/>
    <w:uiPriority w:val="34"/>
    <w:pPr>
      <w:ind w:firstLine="420" w:firstLineChars="200"/>
    </w:pPr>
  </w:style>
  <w:style w:type="character" w:customStyle="1" w:styleId="26">
    <w:name w:val="批注框文本 Char"/>
    <w:basedOn w:val="14"/>
    <w:link w:val="7"/>
    <w:semiHidden/>
    <w:qFormat/>
    <w:uiPriority w:val="99"/>
    <w:rPr>
      <w:rFonts w:ascii="Times New Roman" w:hAnsi="Times New Roman" w:eastAsia="宋体" w:cs="Times New Roman"/>
      <w:sz w:val="18"/>
      <w:szCs w:val="18"/>
      <w:lang w:bidi="ar-SA"/>
    </w:rPr>
  </w:style>
  <w:style w:type="character" w:customStyle="1" w:styleId="27">
    <w:name w:val="表格文字 Char"/>
    <w:link w:val="28"/>
    <w:qFormat/>
    <w:uiPriority w:val="0"/>
    <w:rPr>
      <w:rFonts w:eastAsia="宋体"/>
      <w:sz w:val="24"/>
    </w:rPr>
  </w:style>
  <w:style w:type="paragraph" w:customStyle="1" w:styleId="28">
    <w:name w:val="表格文字"/>
    <w:basedOn w:val="1"/>
    <w:next w:val="1"/>
    <w:link w:val="27"/>
    <w:qFormat/>
    <w:uiPriority w:val="0"/>
    <w:pPr>
      <w:snapToGrid w:val="0"/>
      <w:spacing w:line="480" w:lineRule="exact"/>
      <w:jc w:val="center"/>
    </w:pPr>
    <w:rPr>
      <w:rFonts w:asciiTheme="minorHAnsi" w:hAnsiTheme="minorHAnsi" w:cstheme="minorBidi"/>
      <w:sz w:val="24"/>
      <w:szCs w:val="28"/>
      <w:lang w:bidi="mn-Mong-CN"/>
    </w:rPr>
  </w:style>
  <w:style w:type="character" w:customStyle="1" w:styleId="29">
    <w:name w:val="正文文本缩进 Char"/>
    <w:basedOn w:val="14"/>
    <w:link w:val="4"/>
    <w:semiHidden/>
    <w:qFormat/>
    <w:uiPriority w:val="99"/>
    <w:rPr>
      <w:rFonts w:ascii="Times New Roman" w:hAnsi="Times New Roman" w:eastAsia="宋体" w:cs="Times New Roman"/>
      <w:szCs w:val="24"/>
      <w:lang w:bidi="ar-SA"/>
    </w:rPr>
  </w:style>
  <w:style w:type="character" w:customStyle="1" w:styleId="30">
    <w:name w:val="正文首行缩进 2 Char"/>
    <w:basedOn w:val="29"/>
    <w:link w:val="11"/>
    <w:qFormat/>
    <w:uiPriority w:val="0"/>
    <w:rPr>
      <w:rFonts w:ascii="Times New Roman" w:hAnsi="Times New Roman" w:eastAsia="宋体" w:cs="Times New Roman"/>
      <w:color w:val="000000"/>
      <w:spacing w:val="4"/>
      <w:sz w:val="24"/>
      <w:szCs w:val="24"/>
      <w:lang w:bidi="ar-SA"/>
    </w:rPr>
  </w:style>
  <w:style w:type="character" w:customStyle="1" w:styleId="31">
    <w:name w:val="纯文本 Char"/>
    <w:basedOn w:val="14"/>
    <w:link w:val="6"/>
    <w:qFormat/>
    <w:uiPriority w:val="0"/>
    <w:rPr>
      <w:rFonts w:ascii="宋体" w:hAnsi="Courier New" w:eastAsia="宋体" w:cs="Mongolian Baiti"/>
      <w:szCs w:val="21"/>
      <w:lang w:bidi="ar-SA"/>
    </w:rPr>
  </w:style>
  <w:style w:type="character" w:customStyle="1" w:styleId="32">
    <w:name w:val="fontstyle01"/>
    <w:basedOn w:val="14"/>
    <w:qFormat/>
    <w:uiPriority w:val="0"/>
    <w:rPr>
      <w:rFonts w:hint="eastAsia" w:ascii="仿宋_GB2312" w:eastAsia="仿宋_GB2312"/>
      <w:color w:val="000000"/>
      <w:sz w:val="32"/>
      <w:szCs w:val="32"/>
    </w:rPr>
  </w:style>
  <w:style w:type="paragraph" w:customStyle="1" w:styleId="33">
    <w:name w:val="样式 正文文本 + 首行缩进:  2 字符"/>
    <w:basedOn w:val="3"/>
    <w:qFormat/>
    <w:uiPriority w:val="0"/>
    <w:pPr>
      <w:widowControl/>
      <w:tabs>
        <w:tab w:val="left" w:pos="1064"/>
      </w:tabs>
      <w:snapToGrid w:val="0"/>
      <w:spacing w:before="60" w:after="160" w:line="480" w:lineRule="exact"/>
      <w:ind w:right="113" w:firstLine="480" w:firstLineChars="200"/>
    </w:pPr>
    <w:rPr>
      <w:rFonts w:ascii="宋体" w:hAnsi="宋体" w:cs="宋体"/>
      <w:kern w:val="0"/>
      <w:sz w:val="24"/>
      <w:szCs w:val="20"/>
    </w:rPr>
  </w:style>
  <w:style w:type="character" w:customStyle="1" w:styleId="34">
    <w:name w:val="正文文本 Char"/>
    <w:basedOn w:val="14"/>
    <w:link w:val="3"/>
    <w:semiHidden/>
    <w:qFormat/>
    <w:uiPriority w:val="99"/>
    <w:rPr>
      <w:rFonts w:ascii="Times New Roman" w:hAnsi="Times New Roman" w:eastAsia="宋体" w:cs="Times New Roman"/>
      <w:szCs w:val="24"/>
      <w:lang w:bidi="ar-SA"/>
    </w:rPr>
  </w:style>
  <w:style w:type="character" w:customStyle="1" w:styleId="35">
    <w:name w:val="fontstyle11"/>
    <w:basedOn w:val="14"/>
    <w:qFormat/>
    <w:uiPriority w:val="0"/>
    <w:rPr>
      <w:rFonts w:hint="eastAsia" w:ascii="宋体" w:hAnsi="宋体" w:eastAsia="宋体"/>
      <w:color w:val="000000"/>
      <w:sz w:val="22"/>
      <w:szCs w:val="22"/>
    </w:rPr>
  </w:style>
  <w:style w:type="paragraph" w:customStyle="1" w:styleId="36">
    <w:name w:val="三级标题"/>
    <w:next w:val="1"/>
    <w:qFormat/>
    <w:uiPriority w:val="0"/>
    <w:pPr>
      <w:adjustRightInd w:val="0"/>
      <w:snapToGrid w:val="0"/>
      <w:spacing w:before="156" w:beforeLines="50" w:line="360" w:lineRule="auto"/>
      <w:ind w:firstLine="200" w:firstLineChars="200"/>
    </w:pPr>
    <w:rPr>
      <w:rFonts w:ascii="Times New Roman" w:hAnsi="Times New Roman" w:eastAsia="楷体" w:cs="Times New Roman"/>
      <w:b/>
      <w:kern w:val="2"/>
      <w:sz w:val="28"/>
      <w:szCs w:val="22"/>
      <w:lang w:val="en-US" w:eastAsia="zh-CN" w:bidi="ar-SA"/>
    </w:rPr>
  </w:style>
  <w:style w:type="paragraph" w:customStyle="1" w:styleId="37">
    <w:name w:val="z正文"/>
    <w:basedOn w:val="1"/>
    <w:link w:val="38"/>
    <w:qFormat/>
    <w:uiPriority w:val="0"/>
    <w:pPr>
      <w:spacing w:line="360" w:lineRule="auto"/>
      <w:ind w:firstLine="200" w:firstLineChars="200"/>
      <w:jc w:val="left"/>
    </w:pPr>
    <w:rPr>
      <w:rFonts w:cs="宋体"/>
      <w:kern w:val="0"/>
      <w:sz w:val="24"/>
      <w:szCs w:val="20"/>
    </w:rPr>
  </w:style>
  <w:style w:type="character" w:customStyle="1" w:styleId="38">
    <w:name w:val="z正文 Char"/>
    <w:link w:val="37"/>
    <w:qFormat/>
    <w:uiPriority w:val="0"/>
    <w:rPr>
      <w:rFonts w:ascii="Times New Roman" w:hAnsi="Times New Roman" w:eastAsia="宋体" w:cs="宋体"/>
      <w:kern w:val="0"/>
      <w:sz w:val="24"/>
      <w:szCs w:val="20"/>
      <w:lang w:bidi="ar-SA"/>
    </w:rPr>
  </w:style>
  <w:style w:type="character" w:customStyle="1" w:styleId="39">
    <w:name w:val="zlf表格文字 Char"/>
    <w:link w:val="40"/>
    <w:qFormat/>
    <w:uiPriority w:val="0"/>
    <w:rPr>
      <w:szCs w:val="24"/>
    </w:rPr>
  </w:style>
  <w:style w:type="paragraph" w:customStyle="1" w:styleId="40">
    <w:name w:val="zlf表格文字"/>
    <w:link w:val="39"/>
    <w:qFormat/>
    <w:uiPriority w:val="0"/>
    <w:pPr>
      <w:spacing w:line="276" w:lineRule="auto"/>
      <w:jc w:val="center"/>
    </w:pPr>
    <w:rPr>
      <w:rFonts w:asciiTheme="minorHAnsi" w:hAnsiTheme="minorHAnsi" w:eastAsiaTheme="minorEastAsia" w:cstheme="minorBidi"/>
      <w:kern w:val="2"/>
      <w:sz w:val="21"/>
      <w:szCs w:val="24"/>
      <w:lang w:val="en-US" w:eastAsia="zh-CN" w:bidi="mn-Mong-CN"/>
    </w:rPr>
  </w:style>
  <w:style w:type="paragraph" w:customStyle="1" w:styleId="41">
    <w:name w:val="5表标题"/>
    <w:qFormat/>
    <w:uiPriority w:val="0"/>
    <w:pPr>
      <w:jc w:val="center"/>
    </w:pPr>
    <w:rPr>
      <w:rFonts w:ascii="Times New Roman" w:hAnsi="Times New Roman" w:eastAsia="宋体" w:cs="宋体"/>
      <w:b/>
      <w:bCs/>
      <w:kern w:val="2"/>
      <w:sz w:val="21"/>
      <w:szCs w:val="20"/>
      <w:lang w:val="en-US" w:eastAsia="zh-CN" w:bidi="ar-SA"/>
    </w:rPr>
  </w:style>
  <w:style w:type="paragraph" w:customStyle="1" w:styleId="42">
    <w:name w:val="报告书正文"/>
    <w:basedOn w:val="1"/>
    <w:qFormat/>
    <w:uiPriority w:val="0"/>
    <w:pPr>
      <w:spacing w:line="300" w:lineRule="auto"/>
      <w:ind w:firstLine="200" w:firstLineChars="200"/>
    </w:pPr>
    <w:rPr>
      <w:sz w:val="24"/>
      <w:szCs w:val="20"/>
      <w:lang w:bidi="mn-Mong-CN"/>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7" Type="http://schemas.openxmlformats.org/officeDocument/2006/relationships/fontTable" Target="fontTable.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58.jpeg"/><Relationship Id="rId73" Type="http://schemas.openxmlformats.org/officeDocument/2006/relationships/image" Target="media/image57.jpeg"/><Relationship Id="rId72" Type="http://schemas.openxmlformats.org/officeDocument/2006/relationships/image" Target="media/image56.jpeg"/><Relationship Id="rId71" Type="http://schemas.openxmlformats.org/officeDocument/2006/relationships/image" Target="media/image55.jpeg"/><Relationship Id="rId70" Type="http://schemas.openxmlformats.org/officeDocument/2006/relationships/image" Target="media/image54.jpeg"/><Relationship Id="rId7" Type="http://schemas.openxmlformats.org/officeDocument/2006/relationships/footer" Target="footer5.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4.xml"/><Relationship Id="rId59" Type="http://schemas.openxmlformats.org/officeDocument/2006/relationships/image" Target="media/image43.pn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jpeg"/><Relationship Id="rId53" Type="http://schemas.openxmlformats.org/officeDocument/2006/relationships/image" Target="media/image37.jpeg"/><Relationship Id="rId52" Type="http://schemas.openxmlformats.org/officeDocument/2006/relationships/image" Target="media/image36.png"/><Relationship Id="rId51" Type="http://schemas.openxmlformats.org/officeDocument/2006/relationships/image" Target="media/image35.jpeg"/><Relationship Id="rId50" Type="http://schemas.openxmlformats.org/officeDocument/2006/relationships/image" Target="media/image34.jpeg"/><Relationship Id="rId5" Type="http://schemas.openxmlformats.org/officeDocument/2006/relationships/footer" Target="footer3.xml"/><Relationship Id="rId49" Type="http://schemas.openxmlformats.org/officeDocument/2006/relationships/image" Target="media/image33.png"/><Relationship Id="rId48" Type="http://schemas.openxmlformats.org/officeDocument/2006/relationships/image" Target="media/image32.jpeg"/><Relationship Id="rId47" Type="http://schemas.openxmlformats.org/officeDocument/2006/relationships/image" Target="media/image31.jpe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jpeg"/><Relationship Id="rId42" Type="http://schemas.openxmlformats.org/officeDocument/2006/relationships/image" Target="media/image26.png"/><Relationship Id="rId41" Type="http://schemas.openxmlformats.org/officeDocument/2006/relationships/image" Target="media/image25.png"/><Relationship Id="rId40" Type="http://schemas.microsoft.com/office/2007/relationships/hdphoto" Target="media/image24.wdp"/><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emf"/><Relationship Id="rId31" Type="http://schemas.openxmlformats.org/officeDocument/2006/relationships/oleObject" Target="embeddings/oleObject6.bin"/><Relationship Id="rId30" Type="http://schemas.openxmlformats.org/officeDocument/2006/relationships/image" Target="media/image15.jpeg"/><Relationship Id="rId3" Type="http://schemas.openxmlformats.org/officeDocument/2006/relationships/footer" Target="footer1.xml"/><Relationship Id="rId29" Type="http://schemas.openxmlformats.org/officeDocument/2006/relationships/image" Target="media/image14.emf"/><Relationship Id="rId28" Type="http://schemas.openxmlformats.org/officeDocument/2006/relationships/oleObject" Target="embeddings/oleObject5.bin"/><Relationship Id="rId27" Type="http://schemas.openxmlformats.org/officeDocument/2006/relationships/image" Target="media/image13.emf"/><Relationship Id="rId26" Type="http://schemas.openxmlformats.org/officeDocument/2006/relationships/oleObject" Target="embeddings/oleObject4.bin"/><Relationship Id="rId25" Type="http://schemas.openxmlformats.org/officeDocument/2006/relationships/image" Target="media/image12.emf"/><Relationship Id="rId24" Type="http://schemas.openxmlformats.org/officeDocument/2006/relationships/oleObject" Target="embeddings/oleObject3.bin"/><Relationship Id="rId23" Type="http://schemas.openxmlformats.org/officeDocument/2006/relationships/image" Target="media/image11.emf"/><Relationship Id="rId22" Type="http://schemas.openxmlformats.org/officeDocument/2006/relationships/oleObject" Target="embeddings/oleObject2.bin"/><Relationship Id="rId21" Type="http://schemas.openxmlformats.org/officeDocument/2006/relationships/image" Target="media/image10.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101</Pages>
  <Words>6274</Words>
  <Characters>35767</Characters>
  <Lines>298</Lines>
  <Paragraphs>83</Paragraphs>
  <TotalTime>0</TotalTime>
  <ScaleCrop>false</ScaleCrop>
  <LinksUpToDate>false</LinksUpToDate>
  <CharactersWithSpaces>41958</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2021-08-12T09:01:00Z</dcterms:created>
  <dc:creator>个人用户</dc:creator>
  <cp:lastModifiedBy>hhhh</cp:lastModifiedBy>
  <cp:lastPrinted>2021-09-02T01:47:00Z</cp:lastPrinted>
  <dcterms:modified xsi:type="dcterms:W3CDTF">2021-09-03T08:54:24Z</dcterms:modified>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9C734345A0F94F44B7DEAF806FD14317</vt:lpwstr>
  </property>
</Properties>
</file>