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rPr>
          <w:color w:val="auto"/>
          <w:u w:val="none"/>
        </w:rPr>
      </w:pPr>
      <w:bookmarkStart w:id="0" w:name="_GoBack"/>
      <w:bookmarkEnd w:id="0"/>
      <w:r>
        <w:rPr>
          <w:rFonts w:hint="eastAsia" w:ascii="方正小标宋简体" w:hAnsi="方正小标宋简体" w:eastAsia="方正小标宋简体" w:cs="方正小标宋简体"/>
          <w:color w:val="auto"/>
          <w:sz w:val="43"/>
          <w:szCs w:val="43"/>
          <w:u w:val="none"/>
        </w:rPr>
        <w:t>定襄县综合检验检测中心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rPr>
          <w:color w:val="auto"/>
          <w:u w:val="none"/>
        </w:rPr>
      </w:pPr>
      <w:r>
        <w:rPr>
          <w:rFonts w:hint="eastAsia" w:ascii="方正小标宋简体" w:hAnsi="方正小标宋简体" w:eastAsia="方正小标宋简体" w:cs="方正小标宋简体"/>
          <w:color w:val="auto"/>
          <w:sz w:val="43"/>
          <w:szCs w:val="43"/>
          <w:u w:val="none"/>
        </w:rPr>
        <w:t>2023年度法治政府建设报告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45"/>
        <w:rPr>
          <w:color w:val="auto"/>
          <w:u w:val="none"/>
        </w:rPr>
      </w:pPr>
      <w:r>
        <w:rPr>
          <w:rFonts w:ascii="仿宋" w:hAnsi="仿宋" w:eastAsia="仿宋" w:cs="仿宋"/>
          <w:color w:val="auto"/>
          <w:sz w:val="31"/>
          <w:szCs w:val="31"/>
          <w:u w:val="no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45"/>
        <w:rPr>
          <w:color w:val="auto"/>
          <w:u w:val="none"/>
        </w:rPr>
      </w:pPr>
      <w:r>
        <w:rPr>
          <w:rFonts w:hint="eastAsia" w:ascii="仿宋" w:hAnsi="仿宋" w:eastAsia="仿宋" w:cs="仿宋"/>
          <w:color w:val="auto"/>
          <w:sz w:val="31"/>
          <w:szCs w:val="31"/>
          <w:u w:val="none"/>
        </w:rPr>
        <w:t>2023年，定襄县综合检验检测中心以习近平新时代中国特色社会主义思想为指导，深入学习贯彻习近平总书记全面依法治国新理念、新思想、新战略，认真贯彻落实党的二十大精神，紧紧围绕中央、省、市、县关于法治政府建设的工作部署，高起点开始、高标准要求，始终将依法行政贯穿中心各项工作始终，努力为推动定襄高质量发展提供法治保障。现将本年度法治政府建设工作推进情况报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45"/>
        <w:rPr>
          <w:color w:val="auto"/>
          <w:u w:val="none"/>
        </w:rPr>
      </w:pPr>
      <w:r>
        <w:rPr>
          <w:rFonts w:ascii="黑体" w:hAnsi="宋体" w:eastAsia="黑体" w:cs="黑体"/>
          <w:color w:val="auto"/>
          <w:sz w:val="31"/>
          <w:szCs w:val="31"/>
          <w:u w:val="none"/>
        </w:rPr>
        <w:t>一、年度法治政府工作推进情况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45"/>
        <w:rPr>
          <w:color w:val="auto"/>
          <w:u w:val="none"/>
        </w:rPr>
      </w:pPr>
      <w:r>
        <w:rPr>
          <w:rFonts w:ascii="楷体" w:hAnsi="楷体" w:eastAsia="楷体" w:cs="楷体"/>
          <w:color w:val="auto"/>
          <w:sz w:val="31"/>
          <w:szCs w:val="31"/>
          <w:u w:val="none"/>
        </w:rPr>
        <w:t>（一）强化组织领导，落实工作体制机制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u w:val="none"/>
        </w:rPr>
      </w:pPr>
      <w:r>
        <w:rPr>
          <w:rFonts w:hint="eastAsia" w:ascii="仿宋" w:hAnsi="仿宋" w:eastAsia="仿宋" w:cs="仿宋"/>
          <w:color w:val="auto"/>
          <w:sz w:val="31"/>
          <w:szCs w:val="31"/>
          <w:u w:val="none"/>
        </w:rPr>
        <w:t>1.落实党政主要负责人推进法治建设第一责任人职责。根据组织人事调整，及时调整中心法治机关领导小组机构，中心主任担任组长，分管领导为副组长，各科室负责人为成员，为法治机关建设提供坚实组织保障。主要负责人为法治机关建设第一责任人，履行法治机关建设第一责任人职责，其他班子成员履行“一岗双责”职责，将法治机关建设工作纳入年度计划，确定中心法治建设工作学法计划，做到与其它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u w:val="none"/>
        </w:rPr>
      </w:pPr>
      <w:r>
        <w:rPr>
          <w:rFonts w:hint="eastAsia" w:ascii="仿宋" w:hAnsi="仿宋" w:eastAsia="仿宋" w:cs="仿宋"/>
          <w:color w:val="auto"/>
          <w:sz w:val="31"/>
          <w:szCs w:val="31"/>
          <w:u w:val="none"/>
        </w:rPr>
        <w:t>作同部署、同推进、同督促、同考核。制定了《定襄县综合检验检测中心2023年度学法计划》，全体干部职工集体学法，对习近平法治思想、省委全面依法治省委员会重要会议、市委全面依法治市委员会重要会议、县委全面依法治县委员会重要会议精神进行了系统学习，对《中华人民共和国宪法》《中华人民共和国民法典》《中华人民共和国计量法》</w:t>
      </w:r>
      <w:r>
        <w:rPr>
          <w:rFonts w:hint="eastAsia" w:ascii="仿宋" w:hAnsi="仿宋" w:eastAsia="仿宋" w:cs="仿宋"/>
          <w:color w:val="auto"/>
          <w:sz w:val="31"/>
          <w:szCs w:val="31"/>
          <w:u w:val="none"/>
          <w:lang w:eastAsia="zh-CN"/>
        </w:rPr>
        <w:t>《中华人民共和国保守国家秘密法》</w:t>
      </w:r>
      <w:r>
        <w:rPr>
          <w:rFonts w:hint="eastAsia" w:ascii="仿宋" w:hAnsi="仿宋" w:eastAsia="仿宋" w:cs="仿宋"/>
          <w:color w:val="auto"/>
          <w:sz w:val="31"/>
          <w:szCs w:val="31"/>
          <w:u w:val="none"/>
        </w:rPr>
        <w:t>《中华人民共和国计量法》等文件要求学习的法律法规、党章党规进行了全面学习，全年开展了10余次学法活动。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u w:val="none"/>
        </w:rPr>
      </w:pPr>
      <w:r>
        <w:rPr>
          <w:rFonts w:hint="eastAsia" w:ascii="仿宋" w:hAnsi="仿宋" w:eastAsia="仿宋" w:cs="仿宋"/>
          <w:color w:val="auto"/>
          <w:sz w:val="31"/>
          <w:szCs w:val="31"/>
          <w:u w:val="none"/>
        </w:rPr>
        <w:t>2.将重要法律法规列入培训学习内容。通过会前学法、党支部“三会一课”等，认真学习习近平总书记全面依法治国新理念新思想新战略，依法治国相关会议精神，《 中华人民共和国宪法》《 中华人民共和国宪法》《 中华人民共和国宪法》等，深化抓好贯彻落实，不断推动法治工作理念、机制和方法创新。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u w:val="none"/>
        </w:rPr>
      </w:pPr>
      <w:r>
        <w:rPr>
          <w:rFonts w:hint="eastAsia" w:ascii="楷体" w:hAnsi="楷体" w:eastAsia="楷体" w:cs="楷体"/>
          <w:color w:val="auto"/>
          <w:sz w:val="31"/>
          <w:szCs w:val="31"/>
          <w:u w:val="none"/>
        </w:rPr>
        <w:t>（二）认真履行政府职能，严格标准依法行政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u w:val="none"/>
        </w:rPr>
      </w:pPr>
      <w:r>
        <w:rPr>
          <w:rFonts w:hint="eastAsia" w:ascii="仿宋" w:hAnsi="仿宋" w:eastAsia="仿宋" w:cs="仿宋"/>
          <w:color w:val="auto"/>
          <w:sz w:val="31"/>
          <w:szCs w:val="31"/>
          <w:u w:val="none"/>
        </w:rPr>
        <w:t>1.坚持依法决策。严格落实“三重一大”事项议事决策制度，对重大决策、人事任免、项目安排、资金支出等进行集体研究、民主决策。注重领导班子决策前学法、讨论中用法、决策意见合法，保证国家各项法律法规得到全面、有效、统一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u w:val="none"/>
        </w:rPr>
      </w:pPr>
      <w:r>
        <w:rPr>
          <w:rFonts w:hint="eastAsia" w:ascii="仿宋" w:hAnsi="仿宋" w:eastAsia="仿宋" w:cs="仿宋"/>
          <w:color w:val="auto"/>
          <w:sz w:val="31"/>
          <w:szCs w:val="31"/>
          <w:u w:val="none"/>
        </w:rPr>
        <w:t>2.完善决策程序。严格按照党内政治生活制度和法律规定，在涉及“三重一大”事项时，经充分酝酿、讨论，实行民主决策。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u w:val="none"/>
        </w:rPr>
      </w:pPr>
      <w:r>
        <w:rPr>
          <w:rFonts w:hint="eastAsia" w:ascii="仿宋" w:hAnsi="仿宋" w:eastAsia="仿宋" w:cs="仿宋"/>
          <w:color w:val="auto"/>
          <w:sz w:val="31"/>
          <w:szCs w:val="31"/>
          <w:u w:val="none"/>
        </w:rPr>
        <w:t>3.注重重大行政决策合法性审查。中心建立健全《质量手册》《程序文件》审定制度，聘请市中心专家解答法律咨询，参与重大决策事项讨论，草拟、修改、审查有关合同及有关法律事务文书，为中心干部职工开展法治宣传教育和法律培训等综合性法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u w:val="none"/>
        </w:rPr>
      </w:pPr>
      <w:r>
        <w:rPr>
          <w:rFonts w:hint="eastAsia" w:ascii="楷体" w:hAnsi="楷体" w:eastAsia="楷体" w:cs="楷体"/>
          <w:color w:val="auto"/>
          <w:sz w:val="31"/>
          <w:szCs w:val="31"/>
          <w:u w:val="none"/>
        </w:rPr>
        <w:t>（三）加强法律法规宣传，有效提升全民法治意识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u w:val="none"/>
        </w:rPr>
      </w:pPr>
      <w:r>
        <w:rPr>
          <w:rFonts w:hint="eastAsia" w:ascii="仿宋" w:hAnsi="仿宋" w:eastAsia="仿宋" w:cs="仿宋"/>
          <w:color w:val="auto"/>
          <w:sz w:val="31"/>
          <w:szCs w:val="31"/>
          <w:u w:val="none"/>
        </w:rPr>
        <w:t>1.加强行业法律法规学习教育培训。深入开展讲学活动，对检验检测行业制度、法律规定等进行学习，提升检测行业法律知识水平，加强业务综合能力建设。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u w:val="none"/>
        </w:rPr>
      </w:pPr>
      <w:r>
        <w:rPr>
          <w:rFonts w:hint="eastAsia" w:ascii="仿宋" w:hAnsi="仿宋" w:eastAsia="仿宋" w:cs="仿宋"/>
          <w:color w:val="auto"/>
          <w:sz w:val="31"/>
          <w:szCs w:val="31"/>
          <w:u w:val="none"/>
        </w:rPr>
        <w:t>2.学习宣贯重点法律法规。结合单位职能，先后开展《中华人民共和国宪法》</w:t>
      </w:r>
      <w:r>
        <w:rPr>
          <w:rFonts w:hint="eastAsia" w:ascii="仿宋" w:hAnsi="仿宋" w:eastAsia="仿宋" w:cs="仿宋"/>
          <w:color w:val="auto"/>
          <w:sz w:val="31"/>
          <w:szCs w:val="31"/>
          <w:u w:val="none"/>
          <w:lang w:eastAsia="zh-CN"/>
        </w:rPr>
        <w:t>《中华人民共和国保守国家秘密法》</w:t>
      </w:r>
      <w:r>
        <w:rPr>
          <w:rFonts w:hint="eastAsia" w:ascii="仿宋" w:hAnsi="仿宋" w:eastAsia="仿宋" w:cs="仿宋"/>
          <w:color w:val="auto"/>
          <w:sz w:val="31"/>
          <w:szCs w:val="31"/>
          <w:u w:val="none"/>
        </w:rPr>
        <w:t>《中华人民共和国档案法》《中华人民共和国计量法》《中华人民共和国农产品质量安全法》等的学习宣传。开展了“检测服务进社区、同心同力战疫情”活动，深入全县各社区开展疫情防控相关法律及《食品安全法》《中华人民共和国消费者权益保护法》。5月份，在“5.20”世界计量日当天，开展以“测量守护健康”为主题的宣传活动，对《中华人民共和国计量法》进行广泛宣传。10月份，中心邀请市中心专家开展“质量安全宣讲”。在日常工作中结合驻村帮扶、主题教育、党员“双报到”，面向村民居民进行《中华人民共和国宪法》《食品安全法》等法律法规宣传，通过广泛宣传，营造学法用法浓厚氛围，鼓励人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color w:val="auto"/>
          <w:u w:val="none"/>
        </w:rPr>
      </w:pPr>
      <w:r>
        <w:rPr>
          <w:rFonts w:hint="eastAsia" w:ascii="仿宋" w:hAnsi="仿宋" w:eastAsia="仿宋" w:cs="仿宋"/>
          <w:color w:val="auto"/>
          <w:sz w:val="31"/>
          <w:szCs w:val="31"/>
          <w:u w:val="none"/>
        </w:rPr>
        <w:t>群众自觉加强法律法规学习，合理运用法律武器维护自身合法权益。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u w:val="none"/>
        </w:rPr>
      </w:pPr>
      <w:r>
        <w:rPr>
          <w:rFonts w:hint="eastAsia" w:ascii="仿宋" w:hAnsi="仿宋" w:eastAsia="仿宋" w:cs="仿宋"/>
          <w:color w:val="auto"/>
          <w:sz w:val="31"/>
          <w:szCs w:val="31"/>
          <w:u w:val="none"/>
        </w:rPr>
        <w:t>3.《优化营商环境条例》学习。围绕县委、县政府工作重点工作安排，加强优化营商环境工作条例学习，及时传达学习优化营商环境会议、文件精神，引导干部职工树牢服务意识，站在全县优化营商环境的大局中履职尽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u w:val="none"/>
        </w:rPr>
      </w:pPr>
      <w:r>
        <w:rPr>
          <w:rFonts w:hint="eastAsia" w:ascii="仿宋" w:hAnsi="仿宋" w:eastAsia="仿宋" w:cs="仿宋"/>
          <w:color w:val="auto"/>
          <w:sz w:val="31"/>
          <w:szCs w:val="31"/>
          <w:u w:val="none"/>
        </w:rPr>
        <w:t>4.推动工作人员学法用法考试。组织领导班子成员认真完成干部在线学习，切实提升运用法治指导开展工作能力水平。组织干部职工认真参与法制学习，及时完成学习和学法考试，不断提升法治意识。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u w:val="none"/>
        </w:rPr>
      </w:pPr>
      <w:r>
        <w:rPr>
          <w:rFonts w:hint="eastAsia" w:ascii="黑体" w:hAnsi="宋体" w:eastAsia="黑体" w:cs="黑体"/>
          <w:color w:val="auto"/>
          <w:sz w:val="31"/>
          <w:szCs w:val="31"/>
          <w:u w:val="none"/>
        </w:rPr>
        <w:t>二、存在的问题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u w:val="none"/>
        </w:rPr>
      </w:pPr>
      <w:r>
        <w:rPr>
          <w:rFonts w:hint="eastAsia" w:ascii="仿宋" w:hAnsi="仿宋" w:eastAsia="仿宋" w:cs="仿宋"/>
          <w:color w:val="auto"/>
          <w:sz w:val="31"/>
          <w:szCs w:val="31"/>
          <w:u w:val="none"/>
        </w:rPr>
        <w:t>虽然中心在法治政府建设工作上取得了一些成绩，但也存在一些问题需要正视并加以整改。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u w:val="none"/>
        </w:rPr>
      </w:pPr>
      <w:r>
        <w:rPr>
          <w:rFonts w:hint="eastAsia" w:ascii="楷体" w:hAnsi="楷体" w:eastAsia="楷体" w:cs="楷体"/>
          <w:color w:val="auto"/>
          <w:sz w:val="31"/>
          <w:szCs w:val="31"/>
          <w:u w:val="none"/>
        </w:rPr>
        <w:t>（一）干部职工法治意识不够强。</w:t>
      </w:r>
      <w:r>
        <w:rPr>
          <w:rFonts w:hint="eastAsia" w:ascii="仿宋" w:hAnsi="仿宋" w:eastAsia="仿宋" w:cs="仿宋"/>
          <w:color w:val="auto"/>
          <w:sz w:val="31"/>
          <w:szCs w:val="31"/>
          <w:u w:val="none"/>
        </w:rPr>
        <w:t>干部职工运用法律思维和法律手段解决问题的水平还有待提升，法治意识、法治水平需要进一步加强，特别是对实际工作中遇到的复杂问题的处置存在欠缺。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u w:val="none"/>
        </w:rPr>
      </w:pPr>
      <w:r>
        <w:rPr>
          <w:rFonts w:hint="eastAsia" w:ascii="楷体" w:hAnsi="楷体" w:eastAsia="楷体" w:cs="楷体"/>
          <w:color w:val="auto"/>
          <w:sz w:val="31"/>
          <w:szCs w:val="31"/>
          <w:u w:val="none"/>
        </w:rPr>
        <w:t>（二）法治政府建设力度不够强。</w:t>
      </w:r>
      <w:r>
        <w:rPr>
          <w:rFonts w:hint="eastAsia" w:ascii="仿宋" w:hAnsi="仿宋" w:eastAsia="仿宋" w:cs="仿宋"/>
          <w:color w:val="auto"/>
          <w:sz w:val="31"/>
          <w:szCs w:val="31"/>
          <w:u w:val="none"/>
        </w:rPr>
        <w:t>宣传方式和宣传手段上比较单一，行政执法监督效能需要进一步发挥，治理水平尚需进一步提升，公共法律效能体系建设还需进一步提升。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u w:val="none"/>
        </w:rPr>
      </w:pPr>
      <w:r>
        <w:rPr>
          <w:rFonts w:hint="eastAsia" w:ascii="楷体" w:hAnsi="楷体" w:eastAsia="楷体" w:cs="楷体"/>
          <w:color w:val="auto"/>
          <w:sz w:val="31"/>
          <w:szCs w:val="31"/>
          <w:u w:val="none"/>
        </w:rPr>
        <w:t>（三）法治政府创新工作力量薄弱。</w:t>
      </w:r>
      <w:r>
        <w:rPr>
          <w:rFonts w:hint="eastAsia" w:ascii="仿宋" w:hAnsi="仿宋" w:eastAsia="仿宋" w:cs="仿宋"/>
          <w:color w:val="auto"/>
          <w:sz w:val="31"/>
          <w:szCs w:val="31"/>
          <w:u w:val="none"/>
        </w:rPr>
        <w:t>虽然在法治政府建设方面给予了高度重视，投入了大量的精力，但在特色工作和亮点工作上还不突出，创造性开展法治政府建设工作的举措不够多。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u w:val="none"/>
        </w:rPr>
      </w:pPr>
      <w:r>
        <w:rPr>
          <w:rFonts w:hint="eastAsia" w:ascii="黑体" w:hAnsi="宋体" w:eastAsia="黑体" w:cs="黑体"/>
          <w:color w:val="auto"/>
          <w:sz w:val="31"/>
          <w:szCs w:val="31"/>
          <w:u w:val="none"/>
        </w:rPr>
        <w:t>三、下一步工作打算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u w:val="none"/>
        </w:rPr>
      </w:pPr>
      <w:r>
        <w:rPr>
          <w:rFonts w:hint="eastAsia" w:ascii="仿宋" w:hAnsi="仿宋" w:eastAsia="仿宋" w:cs="仿宋"/>
          <w:color w:val="auto"/>
          <w:sz w:val="31"/>
          <w:szCs w:val="31"/>
          <w:u w:val="none"/>
        </w:rPr>
        <w:t>1.结合业务实际，立足服务对象需求，开展多方式多维度的学习宣传。结合中心业务工作实际和面向的人群特点，找准法律法规上的关注点、共鸣点，加强理论宣传，用身边案例表现习近平法治思想，推动习近平总书记关于全面依法治国新理念新战略深入人心，同时灵活运用到实际工作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u w:val="none"/>
        </w:rPr>
      </w:pPr>
      <w:r>
        <w:rPr>
          <w:rFonts w:hint="eastAsia" w:ascii="仿宋" w:hAnsi="仿宋" w:eastAsia="仿宋" w:cs="仿宋"/>
          <w:color w:val="auto"/>
          <w:sz w:val="31"/>
          <w:szCs w:val="31"/>
          <w:u w:val="none"/>
        </w:rPr>
        <w:t>2.突出工作切入点，强化创新意识，开展多种形式的法治建设工作。围绕法治建设工作要点，丰富宣传教育内容，创新创建方式，提高吸引力和感染力，营造尊法学法守法用法的良好氛围，真正让学法普法形象起来，运用起来，最终指导推进工作更好地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u w:val="none"/>
        </w:rPr>
      </w:pPr>
      <w:r>
        <w:rPr>
          <w:rFonts w:hint="eastAsia" w:ascii="仿宋" w:hAnsi="仿宋" w:eastAsia="仿宋" w:cs="仿宋"/>
          <w:color w:val="auto"/>
          <w:sz w:val="31"/>
          <w:szCs w:val="31"/>
          <w:u w:val="none"/>
        </w:rPr>
        <w:t>3.加强部门联动，进一步完善信息联动机制，加强与各科室各岗位间的相互协作沟通，实现资源共享，努力营造支持法治建设的良好舆论氛围。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u w:val="none"/>
        </w:rPr>
      </w:pPr>
      <w:r>
        <w:rPr>
          <w:rFonts w:hint="eastAsia" w:ascii="仿宋" w:hAnsi="仿宋" w:eastAsia="仿宋" w:cs="仿宋"/>
          <w:color w:val="auto"/>
          <w:sz w:val="31"/>
          <w:szCs w:val="31"/>
          <w:u w:val="no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u w:val="none"/>
        </w:rPr>
      </w:pPr>
      <w:r>
        <w:rPr>
          <w:rFonts w:hint="eastAsia" w:ascii="仿宋" w:hAnsi="仿宋" w:eastAsia="仿宋" w:cs="仿宋"/>
          <w:color w:val="auto"/>
          <w:sz w:val="31"/>
          <w:szCs w:val="31"/>
          <w:u w:val="no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color w:val="auto"/>
          <w:u w:val="none"/>
        </w:rPr>
      </w:pPr>
      <w:r>
        <w:rPr>
          <w:rFonts w:hint="eastAsia" w:ascii="仿宋" w:hAnsi="仿宋" w:eastAsia="仿宋" w:cs="仿宋"/>
          <w:color w:val="auto"/>
          <w:sz w:val="31"/>
          <w:szCs w:val="31"/>
          <w:u w:val="none"/>
        </w:rPr>
        <w:t>                      定襄县综合检验检测中心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color w:val="auto"/>
          <w:u w:val="none"/>
        </w:rPr>
      </w:pPr>
      <w:r>
        <w:rPr>
          <w:rFonts w:hint="eastAsia" w:ascii="仿宋" w:hAnsi="仿宋" w:eastAsia="仿宋" w:cs="仿宋"/>
          <w:color w:val="auto"/>
          <w:sz w:val="31"/>
          <w:szCs w:val="31"/>
          <w:u w:val="none"/>
        </w:rPr>
        <w:t>                      2023年12月6日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u w:val="none"/>
        </w:rPr>
      </w:pPr>
    </w:p>
    <w:p>
      <w:pPr>
        <w:rPr>
          <w:rFonts w:hint="eastAsia"/>
          <w:color w:val="auto"/>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31BEB9-B290-44BA-B76F-21FCD356E7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2F02D705-3A90-47B1-9569-3007AB35B9B8}"/>
  </w:font>
  <w:font w:name="仿宋">
    <w:panose1 w:val="02010609060101010101"/>
    <w:charset w:val="86"/>
    <w:family w:val="auto"/>
    <w:pitch w:val="default"/>
    <w:sig w:usb0="800002BF" w:usb1="38CF7CFA" w:usb2="00000016" w:usb3="00000000" w:csb0="00040001" w:csb1="00000000"/>
    <w:embedRegular r:id="rId3" w:fontKey="{0003681A-C10E-4BF5-8514-067E0FF6087C}"/>
  </w:font>
  <w:font w:name="楷体">
    <w:panose1 w:val="02010609060101010101"/>
    <w:charset w:val="86"/>
    <w:family w:val="auto"/>
    <w:pitch w:val="default"/>
    <w:sig w:usb0="800002BF" w:usb1="38CF7CFA" w:usb2="00000016" w:usb3="00000000" w:csb0="00040001" w:csb1="00000000"/>
    <w:embedRegular r:id="rId4" w:fontKey="{37AA6F5D-3220-4D0F-8EA5-ADE766350F2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YzkzYzMxY2M5MTU2YTViYTBkYmJmODBiNDgxYzMifQ=="/>
  </w:docVars>
  <w:rsids>
    <w:rsidRoot w:val="52CE5B7C"/>
    <w:rsid w:val="01372215"/>
    <w:rsid w:val="0156352C"/>
    <w:rsid w:val="02467AD0"/>
    <w:rsid w:val="024944DB"/>
    <w:rsid w:val="03912F41"/>
    <w:rsid w:val="048E7480"/>
    <w:rsid w:val="05637CAF"/>
    <w:rsid w:val="07034156"/>
    <w:rsid w:val="082779D0"/>
    <w:rsid w:val="09F61B0B"/>
    <w:rsid w:val="09F74AE2"/>
    <w:rsid w:val="0AC536A4"/>
    <w:rsid w:val="0EA5384E"/>
    <w:rsid w:val="105C7CC6"/>
    <w:rsid w:val="111156C1"/>
    <w:rsid w:val="119360D6"/>
    <w:rsid w:val="125C6E10"/>
    <w:rsid w:val="14DB04C0"/>
    <w:rsid w:val="15BD5E17"/>
    <w:rsid w:val="16297009"/>
    <w:rsid w:val="17530D90"/>
    <w:rsid w:val="196E7E2F"/>
    <w:rsid w:val="1A534654"/>
    <w:rsid w:val="1B917523"/>
    <w:rsid w:val="1C884DE6"/>
    <w:rsid w:val="1FE81CFD"/>
    <w:rsid w:val="2149055F"/>
    <w:rsid w:val="24C7754F"/>
    <w:rsid w:val="26431A21"/>
    <w:rsid w:val="267442D0"/>
    <w:rsid w:val="26D36045"/>
    <w:rsid w:val="2A753404"/>
    <w:rsid w:val="2E075A2A"/>
    <w:rsid w:val="2E284BAF"/>
    <w:rsid w:val="2EDA016F"/>
    <w:rsid w:val="34237336"/>
    <w:rsid w:val="348953EB"/>
    <w:rsid w:val="35F76384"/>
    <w:rsid w:val="37402617"/>
    <w:rsid w:val="38572812"/>
    <w:rsid w:val="3F3A21A7"/>
    <w:rsid w:val="40291830"/>
    <w:rsid w:val="40C1415E"/>
    <w:rsid w:val="40C33A32"/>
    <w:rsid w:val="425A03C6"/>
    <w:rsid w:val="44884848"/>
    <w:rsid w:val="46256569"/>
    <w:rsid w:val="49D942C7"/>
    <w:rsid w:val="4C786019"/>
    <w:rsid w:val="4D42341E"/>
    <w:rsid w:val="4E597784"/>
    <w:rsid w:val="4EBF0DD3"/>
    <w:rsid w:val="4F7D3946"/>
    <w:rsid w:val="5019366F"/>
    <w:rsid w:val="51D47715"/>
    <w:rsid w:val="51E47CAD"/>
    <w:rsid w:val="52CE5B7C"/>
    <w:rsid w:val="52EB476D"/>
    <w:rsid w:val="53976FE6"/>
    <w:rsid w:val="599328C7"/>
    <w:rsid w:val="5E494A25"/>
    <w:rsid w:val="5F7D704B"/>
    <w:rsid w:val="60DF620F"/>
    <w:rsid w:val="624F61DA"/>
    <w:rsid w:val="628A03FC"/>
    <w:rsid w:val="634C7460"/>
    <w:rsid w:val="63692A0B"/>
    <w:rsid w:val="678D626A"/>
    <w:rsid w:val="69C26753"/>
    <w:rsid w:val="6CBD26F3"/>
    <w:rsid w:val="6E35746E"/>
    <w:rsid w:val="701800D2"/>
    <w:rsid w:val="708C533F"/>
    <w:rsid w:val="71BA1AE7"/>
    <w:rsid w:val="72AD1728"/>
    <w:rsid w:val="75E67C61"/>
    <w:rsid w:val="76726D86"/>
    <w:rsid w:val="77D0645A"/>
    <w:rsid w:val="789456D9"/>
    <w:rsid w:val="79294073"/>
    <w:rsid w:val="7A9E283F"/>
    <w:rsid w:val="7AB67B89"/>
    <w:rsid w:val="7BFA05F4"/>
    <w:rsid w:val="7C22504E"/>
    <w:rsid w:val="7C9D7D81"/>
    <w:rsid w:val="7CB93960"/>
    <w:rsid w:val="7DCA6E75"/>
    <w:rsid w:val="7DD15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2023-12-07T01:32:00Z</dcterms:created>
  <dc:creator>＊</dc:creator>
  <cp:lastModifiedBy>任勇</cp:lastModifiedBy>
  <dcterms:modified xsi:type="dcterms:W3CDTF">2024-03-18T10:30:20Z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6BC316A053514128BC96CA8919A35012_11</vt:lpwstr>
  </property>
</Properties>
</file>