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10.0 -->
  <w:body>
    <w:p w:rsidR="00A77B3E">
      <w:pPr>
        <w:spacing w:before="0" w:after="20"/>
        <w:jc w:val="center"/>
      </w:pPr>
      <w:r>
        <w:rPr>
          <w:rFonts w:ascii="方正小标宋_GBK" w:eastAsia="方正小标宋_GBK" w:hAnsi="方正小标宋_GBK" w:cs="方正小标宋_GBK"/>
          <w:color w:val="000000"/>
          <w:sz w:val="44"/>
          <w:szCs w:val="44"/>
        </w:rPr>
        <w:t>定襄县行政审批服务管理局</w:t>
      </w:r>
    </w:p>
    <w:p w:rsidR="00A77B3E">
      <w:pPr>
        <w:spacing w:before="0" w:after="20"/>
        <w:jc w:val="center"/>
      </w:pPr>
      <w:r>
        <w:rPr>
          <w:rFonts w:ascii="方正小标宋_GBK" w:eastAsia="方正小标宋_GBK" w:hAnsi="方正小标宋_GBK" w:cs="方正小标宋_GBK"/>
          <w:color w:val="000000"/>
          <w:sz w:val="44"/>
          <w:szCs w:val="44"/>
        </w:rPr>
        <w:t>202</w:t>
      </w:r>
      <w:r>
        <w:rPr>
          <w:rFonts w:ascii="方正小标宋_GBK" w:eastAsia="方正小标宋_GBK" w:hAnsi="方正小标宋_GBK" w:cs="方正小标宋_GBK"/>
          <w:color w:val="000000"/>
          <w:sz w:val="44"/>
          <w:szCs w:val="44"/>
        </w:rPr>
        <w:t>4</w:t>
      </w:r>
      <w:r>
        <w:rPr>
          <w:rFonts w:ascii="方正小标宋_GBK" w:eastAsia="方正小标宋_GBK" w:hAnsi="方正小标宋_GBK" w:cs="方正小标宋_GBK"/>
          <w:color w:val="000000"/>
          <w:sz w:val="44"/>
          <w:szCs w:val="44"/>
        </w:rPr>
        <w:t>年度政府信息公开工作年度报告</w:t>
      </w:r>
    </w:p>
    <w:p w:rsidR="00A77B3E">
      <w:pPr>
        <w:shd w:val="clear" w:color="auto" w:fill="FFFFFF"/>
        <w:spacing w:before="0" w:after="0"/>
        <w:ind w:left="0" w:right="0" w:firstLine="420"/>
        <w:jc w:val="left"/>
      </w:pPr>
    </w:p>
    <w:p w:rsidR="00A77B3E">
      <w:pPr>
        <w:spacing w:before="0" w:after="20"/>
        <w:ind w:firstLine="640"/>
        <w:jc w:val="left"/>
      </w:pPr>
      <w:r>
        <w:rPr>
          <w:rFonts w:ascii="SimHei" w:eastAsia="SimHei" w:hAnsi="SimHei" w:cs="SimHei"/>
          <w:color w:val="000000"/>
          <w:sz w:val="32"/>
          <w:szCs w:val="32"/>
        </w:rPr>
        <w:t>一、总体情况</w:t>
      </w:r>
    </w:p>
    <w:p w:rsidR="00A77B3E">
      <w:pPr>
        <w:spacing w:before="0" w:after="20"/>
        <w:ind w:firstLine="640"/>
        <w:jc w:val="left"/>
      </w:pPr>
      <w:r>
        <w:rPr>
          <w:rFonts w:ascii="FangSong" w:eastAsia="FangSong" w:hAnsi="FangSong" w:cs="FangSong"/>
          <w:color w:val="000000"/>
          <w:sz w:val="32"/>
          <w:szCs w:val="32"/>
        </w:rPr>
        <w:t>202</w:t>
      </w:r>
      <w:r>
        <w:rPr>
          <w:rFonts w:ascii="FangSong" w:eastAsia="FangSong" w:hAnsi="FangSong" w:cs="FangSong"/>
          <w:color w:val="000000"/>
          <w:sz w:val="32"/>
          <w:szCs w:val="32"/>
        </w:rPr>
        <w:t>4</w:t>
      </w:r>
      <w:r>
        <w:rPr>
          <w:rFonts w:ascii="FangSong" w:eastAsia="FangSong" w:hAnsi="FangSong" w:cs="FangSong"/>
          <w:color w:val="000000"/>
          <w:sz w:val="32"/>
          <w:szCs w:val="32"/>
        </w:rPr>
        <w:t>年，定襄县行政审批</w:t>
      </w:r>
      <w:r>
        <w:rPr>
          <w:rFonts w:ascii="FangSong" w:eastAsia="FangSong" w:hAnsi="FangSong" w:cs="FangSong"/>
          <w:color w:val="000000"/>
          <w:sz w:val="32"/>
          <w:szCs w:val="32"/>
        </w:rPr>
        <w:t>服务管理</w:t>
      </w:r>
      <w:r>
        <w:rPr>
          <w:rFonts w:ascii="FangSong" w:eastAsia="FangSong" w:hAnsi="FangSong" w:cs="FangSong"/>
          <w:color w:val="000000"/>
          <w:sz w:val="32"/>
          <w:szCs w:val="32"/>
        </w:rPr>
        <w:t>局认真学习贯彻党的二十大精神</w:t>
      </w:r>
      <w:r>
        <w:rPr>
          <w:rFonts w:ascii="FangSong" w:eastAsia="FangSong" w:hAnsi="FangSong" w:cs="FangSong"/>
          <w:color w:val="000000"/>
          <w:sz w:val="32"/>
          <w:szCs w:val="32"/>
        </w:rPr>
        <w:t>和二十届三中全会</w:t>
      </w:r>
      <w:r>
        <w:rPr>
          <w:rFonts w:ascii="FangSong" w:eastAsia="FangSong" w:hAnsi="FangSong" w:cs="FangSong"/>
          <w:color w:val="000000"/>
          <w:sz w:val="32"/>
          <w:szCs w:val="32"/>
        </w:rPr>
        <w:t>精神，扎实开展学习贯彻习近平新时代中国特色社会主义思想 主题教育，紧紧围绕县委、县政府中心工作，聚焦服务项目、服务企业、服务群众</w:t>
      </w:r>
      <w:r>
        <w:rPr>
          <w:rFonts w:ascii="FangSong" w:eastAsia="FangSong" w:hAnsi="FangSong" w:cs="FangSong"/>
          <w:color w:val="000000"/>
          <w:sz w:val="32"/>
          <w:szCs w:val="32"/>
        </w:rPr>
        <w:t>，</w:t>
      </w:r>
      <w:r>
        <w:rPr>
          <w:rFonts w:ascii="FangSong" w:eastAsia="FangSong" w:hAnsi="FangSong" w:cs="FangSong"/>
          <w:color w:val="000000"/>
          <w:sz w:val="32"/>
          <w:szCs w:val="32"/>
        </w:rPr>
        <w:t>坚持问题导向，主动担当作为，务实开拓创新，持续深化相对集中行政许可权改革，积极推进政务服务标准化规范化便利化，为不断提升政务服务效能，打造人民满意的服务型政府作出贡献。聚焦企业和群众需求，将深化政务公开要求融入到作风革命、效能革命中，全面推进决策、执行、管理、服务、结果公开，扎实做好政务公开工作。</w:t>
      </w:r>
    </w:p>
    <w:p w:rsidR="00A77B3E">
      <w:pPr>
        <w:spacing w:before="0" w:after="20"/>
        <w:ind w:firstLine="640"/>
        <w:jc w:val="left"/>
      </w:pPr>
      <w:r>
        <w:rPr>
          <w:rFonts w:ascii="FangSong" w:eastAsia="FangSong" w:hAnsi="FangSong" w:cs="FangSong"/>
          <w:color w:val="000000"/>
          <w:sz w:val="32"/>
          <w:szCs w:val="32"/>
        </w:rPr>
        <w:t>（一）</w:t>
      </w:r>
      <w:r>
        <w:rPr>
          <w:rFonts w:ascii="FangSong" w:eastAsia="FangSong" w:hAnsi="FangSong" w:cs="FangSong"/>
          <w:color w:val="000000"/>
          <w:sz w:val="32"/>
          <w:szCs w:val="32"/>
        </w:rPr>
        <w:t xml:space="preserve">全面推进政务公开。按照"以公开为常态、不公 </w:t>
      </w:r>
      <w:r>
        <w:rPr>
          <w:rFonts w:ascii="Calibri" w:eastAsia="Calibri" w:hAnsi="Calibri" w:cs="Calibri"/>
          <w:color w:val="000000"/>
          <w:sz w:val="32"/>
          <w:szCs w:val="32"/>
        </w:rPr>
        <w:t> </w:t>
      </w:r>
      <w:r>
        <w:rPr>
          <w:rFonts w:ascii="FangSong" w:eastAsia="FangSong" w:hAnsi="FangSong" w:cs="FangSong"/>
          <w:color w:val="000000"/>
          <w:sz w:val="32"/>
          <w:szCs w:val="32"/>
        </w:rPr>
        <w:t>开为例外"的原则，进一步健全和完善</w:t>
      </w:r>
      <w:r>
        <w:rPr>
          <w:rStyle w:val="data-span-seriousError0"/>
          <w:rFonts w:ascii="FangSong" w:eastAsia="FangSong" w:hAnsi="FangSong" w:cs="FangSong"/>
          <w:color w:val="000000"/>
          <w:sz w:val="32"/>
          <w:szCs w:val="32"/>
        </w:rPr>
        <w:t>政府信息公开</w:t>
      </w:r>
      <w:r>
        <w:rPr>
          <w:rFonts w:ascii="FangSong" w:eastAsia="FangSong" w:hAnsi="FangSong" w:cs="FangSong"/>
          <w:color w:val="000000"/>
          <w:sz w:val="32"/>
          <w:szCs w:val="32"/>
        </w:rPr>
        <w:t>工作体 制机制，推进决策公开、执行公开、管理公开、服务公开、 结果公开。持续推进"一窗受理，全程代办"效劳，以及拓 宽"好差评"服务评价渠道，政务服务事项和办事指南类公 共服务事项实现"一事一评议"全覆盖。</w:t>
      </w:r>
    </w:p>
    <w:p w:rsidR="00A77B3E">
      <w:pPr>
        <w:spacing w:before="0" w:after="20"/>
        <w:ind w:firstLine="640"/>
        <w:jc w:val="left"/>
      </w:pPr>
      <w:r>
        <w:rPr>
          <w:rFonts w:ascii="FangSong" w:eastAsia="FangSong" w:hAnsi="FangSong" w:cs="FangSong"/>
          <w:color w:val="000000"/>
          <w:sz w:val="32"/>
          <w:szCs w:val="32"/>
        </w:rPr>
        <w:t>（二）</w:t>
      </w:r>
      <w:r>
        <w:rPr>
          <w:rFonts w:ascii="FangSong" w:eastAsia="FangSong" w:hAnsi="FangSong" w:cs="FangSong"/>
          <w:color w:val="000000"/>
          <w:sz w:val="32"/>
          <w:szCs w:val="32"/>
        </w:rPr>
        <w:t xml:space="preserve">多举措推动市场主体提质增量。为进一步激发市 </w:t>
      </w:r>
      <w:r>
        <w:rPr>
          <w:rFonts w:ascii="Calibri" w:eastAsia="Calibri" w:hAnsi="Calibri" w:cs="Calibri"/>
          <w:color w:val="000000"/>
          <w:sz w:val="32"/>
          <w:szCs w:val="32"/>
        </w:rPr>
        <w:t> </w:t>
      </w:r>
      <w:r>
        <w:rPr>
          <w:rFonts w:ascii="FangSong" w:eastAsia="FangSong" w:hAnsi="FangSong" w:cs="FangSong"/>
          <w:color w:val="000000"/>
          <w:sz w:val="32"/>
          <w:szCs w:val="32"/>
        </w:rPr>
        <w:t>场活力和社会创造力，定襄县政府多措并举全力推进十大平 台建设支撑市场经营培育发展，积极打造法兰特色专业镇，推进定襄县法兰企业增数量、上规模、提效益，促进经营主 体增量提质。同时在县政务服务大厅专设法兰专业镇窗口， 对进入行政审批局的重点工业企业</w:t>
      </w:r>
      <w:r>
        <w:rPr>
          <w:rFonts w:ascii="FangSong" w:eastAsia="FangSong" w:hAnsi="FangSong" w:cs="FangSong"/>
          <w:color w:val="000000"/>
          <w:sz w:val="32"/>
          <w:szCs w:val="32"/>
        </w:rPr>
        <w:t>，</w:t>
      </w:r>
      <w:r>
        <w:rPr>
          <w:rFonts w:ascii="FangSong" w:eastAsia="FangSong" w:hAnsi="FangSong" w:cs="FangSong"/>
          <w:color w:val="000000"/>
          <w:sz w:val="32"/>
          <w:szCs w:val="32"/>
        </w:rPr>
        <w:t>提高企业办事效率。</w:t>
      </w:r>
    </w:p>
    <w:p w:rsidR="00A77B3E">
      <w:pPr>
        <w:spacing w:before="0" w:after="20"/>
        <w:ind w:firstLine="640"/>
        <w:jc w:val="left"/>
      </w:pPr>
      <w:r>
        <w:rPr>
          <w:rFonts w:ascii="FangSong" w:eastAsia="FangSong" w:hAnsi="FangSong" w:cs="FangSong"/>
          <w:color w:val="000000"/>
          <w:sz w:val="32"/>
          <w:szCs w:val="32"/>
        </w:rPr>
        <w:t>（三）</w:t>
      </w:r>
      <w:r>
        <w:rPr>
          <w:rFonts w:ascii="FangSong" w:eastAsia="FangSong" w:hAnsi="FangSong" w:cs="FangSong"/>
          <w:color w:val="000000"/>
          <w:sz w:val="32"/>
          <w:szCs w:val="32"/>
        </w:rPr>
        <w:t>持续优化政务服务环境。起草印发《定襄县进一步优化政务服务提升行动效能推动高效办成一件事工作方案的通知》定政办发(2024)27号文件，部署41个部门安排了23项</w:t>
      </w:r>
      <w:r>
        <w:rPr>
          <w:rFonts w:ascii="FangSong" w:eastAsia="FangSong" w:hAnsi="FangSong" w:cs="FangSong"/>
          <w:color w:val="000000"/>
          <w:sz w:val="32"/>
          <w:szCs w:val="32"/>
        </w:rPr>
        <w:t>目</w:t>
      </w:r>
      <w:r>
        <w:rPr>
          <w:rFonts w:ascii="FangSong" w:eastAsia="FangSong" w:hAnsi="FangSong" w:cs="FangSong"/>
          <w:color w:val="000000"/>
          <w:sz w:val="32"/>
          <w:szCs w:val="32"/>
        </w:rPr>
        <w:t>标任务，推动线上线下政务服务能力整体提升，常态化推进27项"高效办成一件事重点事项落地见效，最大限度利企便民</w:t>
      </w:r>
      <w:r>
        <w:rPr>
          <w:rFonts w:ascii="FangSong" w:eastAsia="FangSong" w:hAnsi="FangSong" w:cs="FangSong"/>
          <w:color w:val="000000"/>
          <w:sz w:val="32"/>
          <w:szCs w:val="32"/>
        </w:rPr>
        <w:t>。</w:t>
      </w:r>
      <w:r>
        <w:rPr>
          <w:rFonts w:ascii="FangSong" w:eastAsia="FangSong" w:hAnsi="FangSong" w:cs="FangSong"/>
          <w:color w:val="000000"/>
          <w:sz w:val="32"/>
          <w:szCs w:val="32"/>
        </w:rPr>
        <w:t>提供</w:t>
      </w:r>
      <w:r>
        <w:rPr>
          <w:rFonts w:ascii="FangSong" w:eastAsia="FangSong" w:hAnsi="FangSong" w:cs="FangSong"/>
          <w:color w:val="000000"/>
          <w:sz w:val="32"/>
          <w:szCs w:val="32"/>
        </w:rPr>
        <w:t>7&amp;times;</w:t>
      </w:r>
      <w:r>
        <w:rPr>
          <w:rFonts w:ascii="FangSong" w:eastAsia="FangSong" w:hAnsi="FangSong" w:cs="FangSong"/>
          <w:color w:val="000000"/>
          <w:sz w:val="32"/>
          <w:szCs w:val="32"/>
        </w:rPr>
        <w:t>24小时"不打烊"自助式便民服务，全天开放、全程自助、全年无休政务服务，满足办事企业和群众对政务服务"全天候、无窗式"的需求。最大限度方便办事群众，延长政务服务时间，提升办事效率。</w:t>
      </w:r>
    </w:p>
    <w:p w:rsidR="00A77B3E">
      <w:pPr>
        <w:spacing w:before="156" w:after="156"/>
        <w:ind w:firstLine="640"/>
        <w:jc w:val="left"/>
      </w:pPr>
      <w:r>
        <w:rPr>
          <w:rFonts w:ascii="SimHei" w:eastAsia="SimHei" w:hAnsi="SimHei" w:cs="SimHei"/>
          <w:color w:val="000000"/>
          <w:sz w:val="32"/>
          <w:szCs w:val="32"/>
        </w:rPr>
        <w:t>二、主动公开政府信息情况</w:t>
      </w:r>
    </w:p>
    <w:tbl>
      <w:tblPr>
        <w:tblStyle w:val="TableNormal0"/>
        <w:tblW w:w="9740" w:type="dxa"/>
        <w:tblInd w:w="20" w:type="dxa"/>
        <w:tblCellMar>
          <w:top w:w="15" w:type="dxa"/>
          <w:left w:w="15" w:type="dxa"/>
          <w:bottom w:w="15" w:type="dxa"/>
          <w:right w:w="15" w:type="dxa"/>
        </w:tblCellMar>
        <w:tblLook w:val="05E0"/>
      </w:tblPr>
      <w:tblGrid>
        <w:gridCol w:w="2452"/>
        <w:gridCol w:w="2418"/>
        <w:gridCol w:w="2441"/>
        <w:gridCol w:w="2429"/>
      </w:tblGrid>
      <w:tr>
        <w:tblPrEx>
          <w:tblW w:w="9740" w:type="dxa"/>
          <w:tblInd w:w="20" w:type="dxa"/>
          <w:tblCellMar>
            <w:top w:w="15" w:type="dxa"/>
            <w:left w:w="15" w:type="dxa"/>
            <w:bottom w:w="15" w:type="dxa"/>
            <w:right w:w="15" w:type="dxa"/>
          </w:tblCellMar>
          <w:tblLook w:val="05E0"/>
        </w:tblPrEx>
        <w:tc>
          <w:tcPr>
            <w:tcW w:w="9780" w:type="dxa"/>
            <w:gridSpan w:val="4"/>
            <w:shd w:val="clear" w:color="auto" w:fill="C6D9F1"/>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color w:val="000000"/>
                <w:sz w:val="20"/>
                <w:szCs w:val="20"/>
              </w:rPr>
              <w:t>第二十条第（一）项</w:t>
            </w:r>
          </w:p>
        </w:tc>
      </w:tr>
      <w:tr>
        <w:tblPrEx>
          <w:tblW w:w="9740" w:type="dxa"/>
          <w:tblInd w:w="20" w:type="dxa"/>
          <w:tblCellMar>
            <w:top w:w="15" w:type="dxa"/>
            <w:left w:w="15" w:type="dxa"/>
            <w:bottom w:w="15" w:type="dxa"/>
            <w:right w:w="15" w:type="dxa"/>
          </w:tblCellMar>
          <w:tblLook w:val="05E0"/>
        </w:tblPrEx>
        <w:tc>
          <w:tcPr>
            <w:tcW w:w="2475" w:type="dxa"/>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color w:val="000000"/>
                <w:sz w:val="20"/>
                <w:szCs w:val="20"/>
              </w:rPr>
              <w:t>信息内容</w:t>
            </w:r>
          </w:p>
        </w:tc>
        <w:tc>
          <w:tcPr>
            <w:tcW w:w="2475" w:type="dxa"/>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color w:val="000000"/>
                <w:sz w:val="20"/>
                <w:szCs w:val="20"/>
              </w:rPr>
              <w:t>本年</w:t>
            </w:r>
            <w:r>
              <w:rPr>
                <w:rFonts w:ascii="SimSun" w:eastAsia="SimSun" w:hAnsi="SimSun" w:cs="SimSun"/>
                <w:sz w:val="20"/>
                <w:szCs w:val="20"/>
              </w:rPr>
              <w:t>制发件数</w:t>
            </w:r>
          </w:p>
        </w:tc>
        <w:tc>
          <w:tcPr>
            <w:tcW w:w="2475" w:type="dxa"/>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color w:val="000000"/>
                <w:sz w:val="20"/>
                <w:szCs w:val="20"/>
              </w:rPr>
              <w:t>本年废止件数</w:t>
            </w:r>
          </w:p>
        </w:tc>
        <w:tc>
          <w:tcPr>
            <w:tcW w:w="2475" w:type="dxa"/>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color w:val="000000"/>
                <w:sz w:val="20"/>
                <w:szCs w:val="20"/>
              </w:rPr>
              <w:t>现行有效件</w:t>
            </w:r>
            <w:r>
              <w:rPr>
                <w:rFonts w:ascii="SimSun" w:eastAsia="SimSun" w:hAnsi="SimSun" w:cs="SimSun"/>
                <w:sz w:val="20"/>
                <w:szCs w:val="20"/>
              </w:rPr>
              <w:t>数</w:t>
            </w:r>
          </w:p>
        </w:tc>
      </w:tr>
      <w:tr>
        <w:tblPrEx>
          <w:tblW w:w="9740" w:type="dxa"/>
          <w:tblInd w:w="20" w:type="dxa"/>
          <w:tblCellMar>
            <w:top w:w="15" w:type="dxa"/>
            <w:left w:w="15" w:type="dxa"/>
            <w:bottom w:w="15" w:type="dxa"/>
            <w:right w:w="15" w:type="dxa"/>
          </w:tblCellMar>
          <w:tblLook w:val="05E0"/>
        </w:tblPrEx>
        <w:tc>
          <w:tcPr>
            <w:tcW w:w="2475"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color w:val="000000"/>
                <w:sz w:val="20"/>
                <w:szCs w:val="20"/>
              </w:rPr>
              <w:t>规章</w:t>
            </w:r>
          </w:p>
        </w:tc>
        <w:tc>
          <w:tcPr>
            <w:tcW w:w="2475"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4"/>
                <w:szCs w:val="24"/>
              </w:rPr>
              <w:t>0</w:t>
            </w:r>
          </w:p>
        </w:tc>
        <w:tc>
          <w:tcPr>
            <w:tcW w:w="2475"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4"/>
                <w:szCs w:val="24"/>
              </w:rPr>
              <w:t>0</w:t>
            </w:r>
          </w:p>
        </w:tc>
        <w:tc>
          <w:tcPr>
            <w:tcW w:w="2475"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4"/>
                <w:szCs w:val="24"/>
              </w:rPr>
              <w:t>0</w:t>
            </w:r>
          </w:p>
        </w:tc>
      </w:tr>
      <w:tr>
        <w:tblPrEx>
          <w:tblW w:w="9740" w:type="dxa"/>
          <w:tblInd w:w="20" w:type="dxa"/>
          <w:tblCellMar>
            <w:top w:w="15" w:type="dxa"/>
            <w:left w:w="15" w:type="dxa"/>
            <w:bottom w:w="15" w:type="dxa"/>
            <w:right w:w="15" w:type="dxa"/>
          </w:tblCellMar>
          <w:tblLook w:val="05E0"/>
        </w:tblPrEx>
        <w:tc>
          <w:tcPr>
            <w:tcW w:w="2475"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color w:val="000000"/>
                <w:sz w:val="20"/>
                <w:szCs w:val="20"/>
              </w:rPr>
              <w:t>行政规范性文件</w:t>
            </w:r>
          </w:p>
        </w:tc>
        <w:tc>
          <w:tcPr>
            <w:tcW w:w="2475"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4"/>
                <w:szCs w:val="24"/>
              </w:rPr>
              <w:t>0</w:t>
            </w:r>
          </w:p>
        </w:tc>
        <w:tc>
          <w:tcPr>
            <w:tcW w:w="2475"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4"/>
                <w:szCs w:val="24"/>
              </w:rPr>
              <w:t>0</w:t>
            </w:r>
          </w:p>
        </w:tc>
        <w:tc>
          <w:tcPr>
            <w:tcW w:w="2475"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4"/>
                <w:szCs w:val="24"/>
              </w:rPr>
              <w:t>0</w:t>
            </w:r>
          </w:p>
        </w:tc>
      </w:tr>
      <w:tr>
        <w:tblPrEx>
          <w:tblW w:w="9740" w:type="dxa"/>
          <w:tblInd w:w="20" w:type="dxa"/>
          <w:tblCellMar>
            <w:top w:w="15" w:type="dxa"/>
            <w:left w:w="15" w:type="dxa"/>
            <w:bottom w:w="15" w:type="dxa"/>
            <w:right w:w="15" w:type="dxa"/>
          </w:tblCellMar>
          <w:tblLook w:val="05E0"/>
        </w:tblPrEx>
        <w:tc>
          <w:tcPr>
            <w:tcW w:w="9780" w:type="dxa"/>
            <w:gridSpan w:val="4"/>
            <w:shd w:val="clear" w:color="auto" w:fill="C6D9F1"/>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color w:val="000000"/>
                <w:sz w:val="20"/>
                <w:szCs w:val="20"/>
              </w:rPr>
              <w:t>第二十条第（五）项</w:t>
            </w:r>
          </w:p>
        </w:tc>
      </w:tr>
      <w:tr>
        <w:tblPrEx>
          <w:tblW w:w="9740" w:type="dxa"/>
          <w:tblInd w:w="20" w:type="dxa"/>
          <w:tblCellMar>
            <w:top w:w="15" w:type="dxa"/>
            <w:left w:w="15" w:type="dxa"/>
            <w:bottom w:w="15" w:type="dxa"/>
            <w:right w:w="15" w:type="dxa"/>
          </w:tblCellMar>
          <w:tblLook w:val="05E0"/>
        </w:tblPrEx>
        <w:tc>
          <w:tcPr>
            <w:tcW w:w="2475" w:type="dxa"/>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color w:val="000000"/>
                <w:sz w:val="20"/>
                <w:szCs w:val="20"/>
              </w:rPr>
              <w:t>信息内容</w:t>
            </w:r>
          </w:p>
        </w:tc>
        <w:tc>
          <w:tcPr>
            <w:tcW w:w="7345" w:type="dxa"/>
            <w:gridSpan w:val="3"/>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color w:val="000000"/>
                <w:sz w:val="20"/>
                <w:szCs w:val="20"/>
              </w:rPr>
              <w:t>本年处理决定数量</w:t>
            </w:r>
          </w:p>
        </w:tc>
      </w:tr>
      <w:tr>
        <w:tblPrEx>
          <w:tblW w:w="9740" w:type="dxa"/>
          <w:tblInd w:w="20" w:type="dxa"/>
          <w:tblCellMar>
            <w:top w:w="15" w:type="dxa"/>
            <w:left w:w="15" w:type="dxa"/>
            <w:bottom w:w="15" w:type="dxa"/>
            <w:right w:w="15" w:type="dxa"/>
          </w:tblCellMar>
          <w:tblLook w:val="05E0"/>
        </w:tblPrEx>
        <w:tc>
          <w:tcPr>
            <w:tcW w:w="2475"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color w:val="000000"/>
                <w:sz w:val="20"/>
                <w:szCs w:val="20"/>
              </w:rPr>
              <w:t>行政许可</w:t>
            </w:r>
          </w:p>
        </w:tc>
        <w:tc>
          <w:tcPr>
            <w:tcW w:w="7345" w:type="dxa"/>
            <w:gridSpan w:val="3"/>
            <w:noWrap w:val="0"/>
            <w:tcMar>
              <w:top w:w="15" w:type="dxa"/>
              <w:left w:w="20" w:type="dxa"/>
              <w:bottom w:w="15" w:type="dxa"/>
              <w:right w:w="20" w:type="dxa"/>
            </w:tcMar>
            <w:vAlign w:val="center"/>
            <w:hideMark/>
          </w:tcPr>
          <w:p w:rsidR="00A77B3E">
            <w:pPr>
              <w:spacing w:before="0" w:after="0"/>
              <w:ind w:left="0" w:right="0"/>
              <w:jc w:val="center"/>
            </w:pPr>
            <w:r>
              <w:rPr>
                <w:rFonts w:ascii="FangSong" w:eastAsia="FangSong" w:hAnsi="FangSong" w:cs="FangSong"/>
                <w:sz w:val="24"/>
                <w:szCs w:val="24"/>
              </w:rPr>
              <w:t>5539</w:t>
            </w:r>
          </w:p>
        </w:tc>
      </w:tr>
      <w:tr>
        <w:tblPrEx>
          <w:tblW w:w="9740" w:type="dxa"/>
          <w:tblInd w:w="20" w:type="dxa"/>
          <w:tblCellMar>
            <w:top w:w="15" w:type="dxa"/>
            <w:left w:w="15" w:type="dxa"/>
            <w:bottom w:w="15" w:type="dxa"/>
            <w:right w:w="15" w:type="dxa"/>
          </w:tblCellMar>
          <w:tblLook w:val="05E0"/>
        </w:tblPrEx>
        <w:tc>
          <w:tcPr>
            <w:tcW w:w="9780" w:type="dxa"/>
            <w:gridSpan w:val="4"/>
            <w:shd w:val="clear" w:color="auto" w:fill="C6D9F1"/>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color w:val="000000"/>
                <w:sz w:val="20"/>
                <w:szCs w:val="20"/>
              </w:rPr>
              <w:t>第二十条第（六）项</w:t>
            </w:r>
          </w:p>
        </w:tc>
      </w:tr>
      <w:tr>
        <w:tblPrEx>
          <w:tblW w:w="9740" w:type="dxa"/>
          <w:tblInd w:w="20" w:type="dxa"/>
          <w:tblCellMar>
            <w:top w:w="15" w:type="dxa"/>
            <w:left w:w="15" w:type="dxa"/>
            <w:bottom w:w="15" w:type="dxa"/>
            <w:right w:w="15" w:type="dxa"/>
          </w:tblCellMar>
          <w:tblLook w:val="05E0"/>
        </w:tblPrEx>
        <w:tc>
          <w:tcPr>
            <w:tcW w:w="2475" w:type="dxa"/>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color w:val="000000"/>
                <w:sz w:val="20"/>
                <w:szCs w:val="20"/>
              </w:rPr>
              <w:t>信息内容</w:t>
            </w:r>
          </w:p>
        </w:tc>
        <w:tc>
          <w:tcPr>
            <w:tcW w:w="7345" w:type="dxa"/>
            <w:gridSpan w:val="3"/>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color w:val="000000"/>
                <w:sz w:val="20"/>
                <w:szCs w:val="20"/>
              </w:rPr>
              <w:t>本年处理决定数量</w:t>
            </w:r>
          </w:p>
        </w:tc>
      </w:tr>
      <w:tr>
        <w:tblPrEx>
          <w:tblW w:w="9740" w:type="dxa"/>
          <w:tblInd w:w="20" w:type="dxa"/>
          <w:tblCellMar>
            <w:top w:w="15" w:type="dxa"/>
            <w:left w:w="15" w:type="dxa"/>
            <w:bottom w:w="15" w:type="dxa"/>
            <w:right w:w="15" w:type="dxa"/>
          </w:tblCellMar>
          <w:tblLook w:val="05E0"/>
        </w:tblPrEx>
        <w:tc>
          <w:tcPr>
            <w:tcW w:w="2475"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color w:val="000000"/>
                <w:sz w:val="20"/>
                <w:szCs w:val="20"/>
              </w:rPr>
              <w:t>行政处罚</w:t>
            </w:r>
          </w:p>
        </w:tc>
        <w:tc>
          <w:tcPr>
            <w:tcW w:w="7345" w:type="dxa"/>
            <w:gridSpan w:val="3"/>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4"/>
                <w:szCs w:val="24"/>
              </w:rPr>
              <w:t>0</w:t>
            </w:r>
          </w:p>
        </w:tc>
      </w:tr>
      <w:tr>
        <w:tblPrEx>
          <w:tblW w:w="9740" w:type="dxa"/>
          <w:tblInd w:w="20" w:type="dxa"/>
          <w:tblCellMar>
            <w:top w:w="15" w:type="dxa"/>
            <w:left w:w="15" w:type="dxa"/>
            <w:bottom w:w="15" w:type="dxa"/>
            <w:right w:w="15" w:type="dxa"/>
          </w:tblCellMar>
          <w:tblLook w:val="05E0"/>
        </w:tblPrEx>
        <w:tc>
          <w:tcPr>
            <w:tcW w:w="2475"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color w:val="000000"/>
                <w:sz w:val="20"/>
                <w:szCs w:val="20"/>
              </w:rPr>
              <w:t>行政强制</w:t>
            </w:r>
          </w:p>
        </w:tc>
        <w:tc>
          <w:tcPr>
            <w:tcW w:w="7345" w:type="dxa"/>
            <w:gridSpan w:val="3"/>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4"/>
                <w:szCs w:val="24"/>
              </w:rPr>
              <w:t>0</w:t>
            </w:r>
          </w:p>
        </w:tc>
      </w:tr>
      <w:tr>
        <w:tblPrEx>
          <w:tblW w:w="9740" w:type="dxa"/>
          <w:tblInd w:w="20" w:type="dxa"/>
          <w:tblCellMar>
            <w:top w:w="15" w:type="dxa"/>
            <w:left w:w="15" w:type="dxa"/>
            <w:bottom w:w="15" w:type="dxa"/>
            <w:right w:w="15" w:type="dxa"/>
          </w:tblCellMar>
          <w:tblLook w:val="05E0"/>
        </w:tblPrEx>
        <w:tc>
          <w:tcPr>
            <w:tcW w:w="9780" w:type="dxa"/>
            <w:gridSpan w:val="4"/>
            <w:shd w:val="clear" w:color="auto" w:fill="C6D9F1"/>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color w:val="000000"/>
                <w:sz w:val="20"/>
                <w:szCs w:val="20"/>
              </w:rPr>
              <w:t>第二十条第（八）项</w:t>
            </w:r>
          </w:p>
        </w:tc>
      </w:tr>
      <w:tr>
        <w:tblPrEx>
          <w:tblW w:w="9740" w:type="dxa"/>
          <w:tblInd w:w="20" w:type="dxa"/>
          <w:tblCellMar>
            <w:top w:w="15" w:type="dxa"/>
            <w:left w:w="15" w:type="dxa"/>
            <w:bottom w:w="15" w:type="dxa"/>
            <w:right w:w="15" w:type="dxa"/>
          </w:tblCellMar>
          <w:tblLook w:val="05E0"/>
        </w:tblPrEx>
        <w:tc>
          <w:tcPr>
            <w:tcW w:w="2475" w:type="dxa"/>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color w:val="000000"/>
                <w:sz w:val="20"/>
                <w:szCs w:val="20"/>
              </w:rPr>
              <w:t>信息内容</w:t>
            </w:r>
          </w:p>
        </w:tc>
        <w:tc>
          <w:tcPr>
            <w:tcW w:w="7345" w:type="dxa"/>
            <w:gridSpan w:val="3"/>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color w:val="000000"/>
                <w:sz w:val="20"/>
                <w:szCs w:val="20"/>
              </w:rPr>
              <w:t>本年收费金额（单位：万元）</w:t>
            </w:r>
          </w:p>
        </w:tc>
      </w:tr>
      <w:tr>
        <w:tblPrEx>
          <w:tblW w:w="9740" w:type="dxa"/>
          <w:tblInd w:w="20" w:type="dxa"/>
          <w:tblCellMar>
            <w:top w:w="15" w:type="dxa"/>
            <w:left w:w="15" w:type="dxa"/>
            <w:bottom w:w="15" w:type="dxa"/>
            <w:right w:w="15" w:type="dxa"/>
          </w:tblCellMar>
          <w:tblLook w:val="05E0"/>
        </w:tblPrEx>
        <w:tc>
          <w:tcPr>
            <w:tcW w:w="2475" w:type="dxa"/>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color w:val="000000"/>
                <w:sz w:val="20"/>
                <w:szCs w:val="20"/>
              </w:rPr>
              <w:t>行政事业性收费</w:t>
            </w:r>
          </w:p>
        </w:tc>
        <w:tc>
          <w:tcPr>
            <w:tcW w:w="7345" w:type="dxa"/>
            <w:gridSpan w:val="3"/>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4"/>
                <w:szCs w:val="24"/>
              </w:rPr>
              <w:t>63.939715</w:t>
            </w:r>
          </w:p>
        </w:tc>
      </w:tr>
    </w:tbl>
    <w:p w:rsidR="00A77B3E">
      <w:pPr>
        <w:spacing w:before="156" w:after="156"/>
        <w:ind w:firstLine="640"/>
        <w:jc w:val="left"/>
      </w:pPr>
      <w:r>
        <w:rPr>
          <w:rFonts w:ascii="SimHei" w:eastAsia="SimHei" w:hAnsi="SimHei" w:cs="SimHei"/>
          <w:color w:val="000000"/>
          <w:sz w:val="32"/>
          <w:szCs w:val="32"/>
        </w:rPr>
        <w:t>三、收到和处理政府信息公开申请情况</w:t>
      </w:r>
    </w:p>
    <w:tbl>
      <w:tblPr>
        <w:tblStyle w:val="TableNormal0"/>
        <w:tblW w:w="9748" w:type="dxa"/>
        <w:tblInd w:w="20" w:type="dxa"/>
        <w:tblCellMar>
          <w:top w:w="15" w:type="dxa"/>
          <w:left w:w="15" w:type="dxa"/>
          <w:bottom w:w="15" w:type="dxa"/>
          <w:right w:w="15" w:type="dxa"/>
        </w:tblCellMar>
        <w:tblLook w:val="05E0"/>
      </w:tblPr>
      <w:tblGrid>
        <w:gridCol w:w="1840"/>
        <w:gridCol w:w="1440"/>
        <w:gridCol w:w="7240"/>
        <w:gridCol w:w="640"/>
        <w:gridCol w:w="440"/>
        <w:gridCol w:w="440"/>
        <w:gridCol w:w="1240"/>
        <w:gridCol w:w="1240"/>
        <w:gridCol w:w="440"/>
        <w:gridCol w:w="440"/>
      </w:tblGrid>
      <w:tr>
        <w:tblPrEx>
          <w:tblW w:w="9748" w:type="dxa"/>
          <w:tblInd w:w="20" w:type="dxa"/>
          <w:tblCellMar>
            <w:top w:w="15" w:type="dxa"/>
            <w:left w:w="15" w:type="dxa"/>
            <w:bottom w:w="15" w:type="dxa"/>
            <w:right w:w="15" w:type="dxa"/>
          </w:tblCellMar>
          <w:tblLook w:val="05E0"/>
        </w:tblPrEx>
        <w:tc>
          <w:tcPr>
            <w:tcW w:w="4971" w:type="dxa"/>
            <w:gridSpan w:val="3"/>
            <w:vMerge w:val="restart"/>
            <w:tcBorders>
              <w:bottom w:val="none" w:sz="0" w:space="0" w:color="auto"/>
            </w:tcBorders>
            <w:noWrap w:val="0"/>
            <w:tcMar>
              <w:top w:w="15" w:type="dxa"/>
              <w:left w:w="20" w:type="dxa"/>
              <w:bottom w:w="15" w:type="dxa"/>
              <w:right w:w="20" w:type="dxa"/>
            </w:tcMar>
            <w:vAlign w:val="center"/>
            <w:hideMark/>
          </w:tcPr>
          <w:p w:rsidR="00A77B3E">
            <w:pPr>
              <w:spacing w:before="0" w:after="0"/>
              <w:ind w:left="0" w:right="0"/>
              <w:jc w:val="left"/>
            </w:pPr>
            <w:r>
              <w:rPr>
                <w:rFonts w:ascii="KaiTi" w:eastAsia="KaiTi" w:hAnsi="KaiTi" w:cs="KaiTi"/>
                <w:sz w:val="20"/>
                <w:szCs w:val="20"/>
              </w:rPr>
              <w:t>（本列数据的勾稽关系为：第一项加第二项之和，等于第三项加第四项之和）</w:t>
            </w:r>
          </w:p>
          <w:p w:rsidR="00A77B3E">
            <w:pPr>
              <w:spacing w:before="0" w:after="20"/>
              <w:ind w:left="0" w:right="0"/>
              <w:jc w:val="left"/>
            </w:pPr>
          </w:p>
          <w:p w:rsidR="00A77B3E">
            <w:pPr>
              <w:spacing w:before="0" w:after="20"/>
            </w:pPr>
          </w:p>
        </w:tc>
        <w:tc>
          <w:tcPr>
            <w:tcW w:w="4857" w:type="dxa"/>
            <w:gridSpan w:val="7"/>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sz w:val="20"/>
                <w:szCs w:val="20"/>
              </w:rPr>
              <w:t>申请人情况</w:t>
            </w:r>
          </w:p>
        </w:tc>
      </w:tr>
      <w:tr>
        <w:tblPrEx>
          <w:tblW w:w="9748" w:type="dxa"/>
          <w:tblInd w:w="20" w:type="dxa"/>
          <w:tblCellMar>
            <w:top w:w="15" w:type="dxa"/>
            <w:left w:w="15" w:type="dxa"/>
            <w:bottom w:w="15" w:type="dxa"/>
            <w:right w:w="15" w:type="dxa"/>
          </w:tblCellMar>
          <w:tblLook w:val="05E0"/>
        </w:tblPrEx>
        <w:tc>
          <w:tcPr>
            <w:gridSpan w:val="3"/>
            <w:vMerge/>
            <w:vAlign w:val="center"/>
            <w:hideMark/>
          </w:tcPr>
          <w:p w:rsidR="00A77B3E">
            <w:pPr>
              <w:rPr>
                <w:rFonts w:ascii="SimSun" w:eastAsia="SimSun" w:hAnsi="SimSun" w:cs="SimSun"/>
                <w:sz w:val="20"/>
                <w:szCs w:val="20"/>
              </w:rPr>
            </w:pPr>
          </w:p>
        </w:tc>
        <w:tc>
          <w:tcPr>
            <w:tcW w:w="728" w:type="dxa"/>
            <w:vMerge w:val="restart"/>
            <w:tcBorders>
              <w:bottom w:val="none" w:sz="0" w:space="0" w:color="auto"/>
            </w:tcBorders>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sz w:val="20"/>
                <w:szCs w:val="20"/>
              </w:rPr>
              <w:t>自然人</w:t>
            </w:r>
          </w:p>
          <w:p w:rsidR="00A77B3E">
            <w:pPr>
              <w:spacing w:before="0" w:after="20"/>
              <w:ind w:left="0" w:right="0"/>
              <w:jc w:val="left"/>
            </w:pPr>
          </w:p>
        </w:tc>
        <w:tc>
          <w:tcPr>
            <w:tcW w:w="3480" w:type="dxa"/>
            <w:gridSpan w:val="5"/>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sz w:val="20"/>
                <w:szCs w:val="20"/>
              </w:rPr>
              <w:t>法人或其他组织</w:t>
            </w:r>
          </w:p>
        </w:tc>
        <w:tc>
          <w:tcPr>
            <w:tcW w:w="729" w:type="dxa"/>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sz w:val="20"/>
                <w:szCs w:val="20"/>
              </w:rPr>
              <w:t>总计</w:t>
            </w:r>
          </w:p>
        </w:tc>
      </w:tr>
      <w:tr>
        <w:tblPrEx>
          <w:tblW w:w="9748" w:type="dxa"/>
          <w:tblInd w:w="20" w:type="dxa"/>
          <w:tblCellMar>
            <w:top w:w="15" w:type="dxa"/>
            <w:left w:w="15" w:type="dxa"/>
            <w:bottom w:w="15" w:type="dxa"/>
            <w:right w:w="15" w:type="dxa"/>
          </w:tblCellMar>
          <w:tblLook w:val="05E0"/>
        </w:tblPrEx>
        <w:tc>
          <w:tcPr>
            <w:gridSpan w:val="3"/>
            <w:vMerge/>
            <w:vAlign w:val="center"/>
            <w:hideMark/>
          </w:tcPr>
          <w:p w:rsidR="00A77B3E">
            <w:pPr>
              <w:rPr>
                <w:rFonts w:ascii="SimSun" w:eastAsia="SimSun" w:hAnsi="SimSun" w:cs="SimSun"/>
                <w:sz w:val="20"/>
                <w:szCs w:val="20"/>
              </w:rPr>
            </w:pPr>
          </w:p>
        </w:tc>
        <w:tc>
          <w:tcPr>
            <w:vMerge/>
            <w:vAlign w:val="center"/>
            <w:hideMark/>
          </w:tcPr>
          <w:p w:rsidR="00A77B3E">
            <w:pPr>
              <w:rPr>
                <w:rFonts w:ascii="SimSun" w:eastAsia="SimSun" w:hAnsi="SimSun" w:cs="SimSun"/>
                <w:sz w:val="20"/>
                <w:szCs w:val="20"/>
              </w:rPr>
            </w:pPr>
          </w:p>
        </w:tc>
        <w:tc>
          <w:tcPr>
            <w:tcW w:w="728" w:type="dxa"/>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sz w:val="20"/>
                <w:szCs w:val="20"/>
              </w:rPr>
              <w:t>商业</w:t>
            </w:r>
          </w:p>
          <w:p w:rsidR="00A77B3E">
            <w:pPr>
              <w:spacing w:before="0" w:after="0"/>
              <w:ind w:left="0" w:right="0"/>
              <w:jc w:val="center"/>
            </w:pPr>
            <w:r>
              <w:rPr>
                <w:rFonts w:ascii="SimSun" w:eastAsia="SimSun" w:hAnsi="SimSun" w:cs="SimSun"/>
                <w:sz w:val="20"/>
                <w:szCs w:val="20"/>
              </w:rPr>
              <w:t>企业</w:t>
            </w:r>
          </w:p>
        </w:tc>
        <w:tc>
          <w:tcPr>
            <w:tcW w:w="728" w:type="dxa"/>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sz w:val="20"/>
                <w:szCs w:val="20"/>
              </w:rPr>
              <w:t>科研</w:t>
            </w:r>
          </w:p>
          <w:p w:rsidR="00A77B3E">
            <w:pPr>
              <w:spacing w:before="0" w:after="0"/>
              <w:ind w:left="0" w:right="0"/>
              <w:jc w:val="center"/>
            </w:pPr>
            <w:r>
              <w:rPr>
                <w:rFonts w:ascii="SimSun" w:eastAsia="SimSun" w:hAnsi="SimSun" w:cs="SimSun"/>
                <w:sz w:val="20"/>
                <w:szCs w:val="20"/>
              </w:rPr>
              <w:t>机构</w:t>
            </w:r>
          </w:p>
        </w:tc>
        <w:tc>
          <w:tcPr>
            <w:tcW w:w="728" w:type="dxa"/>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sz w:val="20"/>
                <w:szCs w:val="20"/>
              </w:rPr>
              <w:t>社会公益组织</w:t>
            </w:r>
          </w:p>
        </w:tc>
        <w:tc>
          <w:tcPr>
            <w:tcW w:w="728" w:type="dxa"/>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sz w:val="20"/>
                <w:szCs w:val="20"/>
              </w:rPr>
              <w:t>法律服务机构</w:t>
            </w:r>
          </w:p>
        </w:tc>
        <w:tc>
          <w:tcPr>
            <w:tcW w:w="728" w:type="dxa"/>
            <w:noWrap w:val="0"/>
            <w:tcMar>
              <w:top w:w="15" w:type="dxa"/>
              <w:left w:w="20" w:type="dxa"/>
              <w:bottom w:w="15" w:type="dxa"/>
              <w:right w:w="20" w:type="dxa"/>
            </w:tcMar>
            <w:vAlign w:val="center"/>
            <w:hideMark/>
          </w:tcPr>
          <w:p w:rsidR="00A77B3E">
            <w:pPr>
              <w:spacing w:before="0" w:after="0"/>
              <w:ind w:left="0" w:right="0"/>
              <w:jc w:val="center"/>
            </w:pPr>
            <w:r>
              <w:rPr>
                <w:rFonts w:ascii="SimSun" w:eastAsia="SimSun" w:hAnsi="SimSun" w:cs="SimSun"/>
                <w:sz w:val="20"/>
                <w:szCs w:val="20"/>
              </w:rPr>
              <w:t>其他</w:t>
            </w:r>
          </w:p>
        </w:tc>
        <w:tc>
          <w:tcPr>
            <w:tcW w:w="728" w:type="dxa"/>
            <w:noWrap w:val="0"/>
            <w:tcMar>
              <w:top w:w="15" w:type="dxa"/>
              <w:left w:w="20" w:type="dxa"/>
              <w:bottom w:w="15" w:type="dxa"/>
              <w:right w:w="20" w:type="dxa"/>
            </w:tcMar>
            <w:vAlign w:val="center"/>
          </w:tcPr>
          <w:p w:rsidR="00A77B3E"/>
        </w:tc>
      </w:tr>
      <w:tr>
        <w:tblPrEx>
          <w:tblW w:w="9748" w:type="dxa"/>
          <w:tblInd w:w="20" w:type="dxa"/>
          <w:tblCellMar>
            <w:top w:w="15" w:type="dxa"/>
            <w:left w:w="15" w:type="dxa"/>
            <w:bottom w:w="15" w:type="dxa"/>
            <w:right w:w="15" w:type="dxa"/>
          </w:tblCellMar>
          <w:tblLook w:val="05E0"/>
        </w:tblPrEx>
        <w:tc>
          <w:tcPr>
            <w:tcW w:w="4971" w:type="dxa"/>
            <w:gridSpan w:val="3"/>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一、本年新收政府信息公开申请数量</w:t>
            </w:r>
          </w:p>
        </w:tc>
        <w:tc>
          <w:tcPr>
            <w:tcW w:w="728"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tcW w:w="4971" w:type="dxa"/>
            <w:gridSpan w:val="3"/>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二、上年结转政府信息公开申请数量</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tcW w:w="808" w:type="dxa"/>
            <w:vMerge w:val="restart"/>
            <w:tcBorders>
              <w:bottom w:val="none" w:sz="0" w:space="0" w:color="auto"/>
            </w:tcBorders>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三、本年度办理结果</w:t>
            </w:r>
          </w:p>
          <w:p w:rsidR="00A77B3E">
            <w:pPr>
              <w:spacing w:before="0" w:after="20"/>
              <w:ind w:left="0" w:right="0"/>
              <w:jc w:val="left"/>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tc>
        <w:tc>
          <w:tcPr>
            <w:tcW w:w="4203" w:type="dxa"/>
            <w:gridSpan w:val="2"/>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（一）予以公开</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tcW w:w="4203" w:type="dxa"/>
            <w:gridSpan w:val="2"/>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（二）部分公开</w:t>
            </w:r>
            <w:r>
              <w:rPr>
                <w:rFonts w:ascii="KaiTi" w:eastAsia="KaiTi" w:hAnsi="KaiTi" w:cs="KaiTi"/>
                <w:sz w:val="20"/>
                <w:szCs w:val="20"/>
              </w:rPr>
              <w:t>（区分处理的，只计这一情形，不计其他情形）</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tcW w:w="983" w:type="dxa"/>
            <w:vMerge w:val="restart"/>
            <w:tcBorders>
              <w:bottom w:val="none" w:sz="0" w:space="0" w:color="auto"/>
            </w:tcBorders>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（三）不予公开</w:t>
            </w:r>
          </w:p>
          <w:p w:rsidR="00A77B3E">
            <w:pPr>
              <w:spacing w:before="0" w:after="20"/>
              <w:ind w:left="0" w:right="0"/>
              <w:jc w:val="left"/>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p w:rsidR="00A77B3E">
            <w:pPr>
              <w:spacing w:before="0" w:after="20"/>
            </w:pPr>
          </w:p>
        </w:tc>
        <w:tc>
          <w:tcPr>
            <w:tcW w:w="3260"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1.属于</w:t>
            </w:r>
            <w:r>
              <w:rPr>
                <w:rStyle w:val="word"/>
                <w:rFonts w:ascii="SimSun" w:eastAsia="SimSun" w:hAnsi="SimSun" w:cs="SimSun"/>
                <w:sz w:val="20"/>
                <w:szCs w:val="20"/>
              </w:rPr>
              <w:t>国家秘密</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vMerge/>
            <w:vAlign w:val="center"/>
            <w:hideMark/>
          </w:tcPr>
          <w:p w:rsidR="00A77B3E">
            <w:pPr>
              <w:rPr>
                <w:rFonts w:ascii="FangSong" w:eastAsia="FangSong" w:hAnsi="FangSong" w:cs="FangSong"/>
                <w:sz w:val="22"/>
                <w:szCs w:val="22"/>
              </w:rPr>
            </w:pPr>
          </w:p>
        </w:tc>
        <w:tc>
          <w:tcPr>
            <w:tcW w:w="3260"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2.其他法律行政法规禁止公开</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vMerge/>
            <w:vAlign w:val="center"/>
            <w:hideMark/>
          </w:tcPr>
          <w:p w:rsidR="00A77B3E">
            <w:pPr>
              <w:rPr>
                <w:rFonts w:ascii="FangSong" w:eastAsia="FangSong" w:hAnsi="FangSong" w:cs="FangSong"/>
                <w:sz w:val="22"/>
                <w:szCs w:val="22"/>
              </w:rPr>
            </w:pPr>
          </w:p>
        </w:tc>
        <w:tc>
          <w:tcPr>
            <w:tcW w:w="3260"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3.危及"三安全一稳定"</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vMerge/>
            <w:vAlign w:val="center"/>
            <w:hideMark/>
          </w:tcPr>
          <w:p w:rsidR="00A77B3E">
            <w:pPr>
              <w:rPr>
                <w:rFonts w:ascii="FangSong" w:eastAsia="FangSong" w:hAnsi="FangSong" w:cs="FangSong"/>
                <w:sz w:val="22"/>
                <w:szCs w:val="22"/>
              </w:rPr>
            </w:pPr>
          </w:p>
        </w:tc>
        <w:tc>
          <w:tcPr>
            <w:tcW w:w="3260"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4.保护第三方合法权益</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vMerge/>
            <w:vAlign w:val="center"/>
            <w:hideMark/>
          </w:tcPr>
          <w:p w:rsidR="00A77B3E">
            <w:pPr>
              <w:rPr>
                <w:rFonts w:ascii="FangSong" w:eastAsia="FangSong" w:hAnsi="FangSong" w:cs="FangSong"/>
                <w:sz w:val="22"/>
                <w:szCs w:val="22"/>
              </w:rPr>
            </w:pPr>
          </w:p>
        </w:tc>
        <w:tc>
          <w:tcPr>
            <w:tcW w:w="3260"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5.属于三类内部事务信息</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vMerge/>
            <w:vAlign w:val="center"/>
            <w:hideMark/>
          </w:tcPr>
          <w:p w:rsidR="00A77B3E">
            <w:pPr>
              <w:rPr>
                <w:rFonts w:ascii="FangSong" w:eastAsia="FangSong" w:hAnsi="FangSong" w:cs="FangSong"/>
                <w:sz w:val="22"/>
                <w:szCs w:val="22"/>
              </w:rPr>
            </w:pPr>
          </w:p>
        </w:tc>
        <w:tc>
          <w:tcPr>
            <w:tcW w:w="3260"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6.属于四类过程性信息</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vMerge/>
            <w:vAlign w:val="center"/>
            <w:hideMark/>
          </w:tcPr>
          <w:p w:rsidR="00A77B3E">
            <w:pPr>
              <w:rPr>
                <w:rFonts w:ascii="FangSong" w:eastAsia="FangSong" w:hAnsi="FangSong" w:cs="FangSong"/>
                <w:sz w:val="22"/>
                <w:szCs w:val="22"/>
              </w:rPr>
            </w:pPr>
          </w:p>
        </w:tc>
        <w:tc>
          <w:tcPr>
            <w:tcW w:w="3260"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7.属于行政执法案卷</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vMerge/>
            <w:vAlign w:val="center"/>
            <w:hideMark/>
          </w:tcPr>
          <w:p w:rsidR="00A77B3E">
            <w:pPr>
              <w:rPr>
                <w:rFonts w:ascii="FangSong" w:eastAsia="FangSong" w:hAnsi="FangSong" w:cs="FangSong"/>
                <w:sz w:val="22"/>
                <w:szCs w:val="22"/>
              </w:rPr>
            </w:pPr>
          </w:p>
        </w:tc>
        <w:tc>
          <w:tcPr>
            <w:tcW w:w="3260"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8.属于行政查询事项</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tcW w:w="983" w:type="dxa"/>
            <w:vMerge w:val="restart"/>
            <w:tcBorders>
              <w:bottom w:val="none" w:sz="0" w:space="0" w:color="auto"/>
            </w:tcBorders>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（四）无法提供</w:t>
            </w:r>
          </w:p>
          <w:p w:rsidR="00A77B3E">
            <w:pPr>
              <w:spacing w:before="0" w:after="20"/>
              <w:ind w:left="0" w:right="0"/>
              <w:jc w:val="left"/>
            </w:pPr>
          </w:p>
          <w:p w:rsidR="00A77B3E">
            <w:pPr>
              <w:spacing w:before="0" w:after="20"/>
            </w:pPr>
          </w:p>
        </w:tc>
        <w:tc>
          <w:tcPr>
            <w:tcW w:w="3260"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1.本机关不掌握相关政府信息</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vMerge/>
            <w:vAlign w:val="center"/>
            <w:hideMark/>
          </w:tcPr>
          <w:p w:rsidR="00A77B3E">
            <w:pPr>
              <w:rPr>
                <w:rFonts w:ascii="FangSong" w:eastAsia="FangSong" w:hAnsi="FangSong" w:cs="FangSong"/>
                <w:sz w:val="22"/>
                <w:szCs w:val="22"/>
              </w:rPr>
            </w:pPr>
          </w:p>
        </w:tc>
        <w:tc>
          <w:tcPr>
            <w:tcW w:w="3260"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2.没有现成信息需要另行制作</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vMerge/>
            <w:vAlign w:val="center"/>
            <w:hideMark/>
          </w:tcPr>
          <w:p w:rsidR="00A77B3E">
            <w:pPr>
              <w:rPr>
                <w:rFonts w:ascii="FangSong" w:eastAsia="FangSong" w:hAnsi="FangSong" w:cs="FangSong"/>
                <w:sz w:val="22"/>
                <w:szCs w:val="22"/>
              </w:rPr>
            </w:pPr>
          </w:p>
        </w:tc>
        <w:tc>
          <w:tcPr>
            <w:tcW w:w="3260"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3.补正后申请内容仍不明确</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tcW w:w="983" w:type="dxa"/>
            <w:vMerge w:val="restart"/>
            <w:tcBorders>
              <w:bottom w:val="none" w:sz="0" w:space="0" w:color="auto"/>
            </w:tcBorders>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（五）不予处理</w:t>
            </w:r>
          </w:p>
          <w:p w:rsidR="00A77B3E">
            <w:pPr>
              <w:spacing w:before="0" w:after="20"/>
              <w:ind w:left="0" w:right="0"/>
              <w:jc w:val="left"/>
            </w:pPr>
          </w:p>
          <w:p w:rsidR="00A77B3E">
            <w:pPr>
              <w:spacing w:before="0" w:after="20"/>
            </w:pPr>
          </w:p>
          <w:p w:rsidR="00A77B3E">
            <w:pPr>
              <w:spacing w:before="0" w:after="20"/>
            </w:pPr>
          </w:p>
          <w:p w:rsidR="00A77B3E">
            <w:pPr>
              <w:spacing w:before="0" w:after="20"/>
            </w:pPr>
          </w:p>
        </w:tc>
        <w:tc>
          <w:tcPr>
            <w:tcW w:w="3260"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1.信访举报投诉类申请</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vMerge/>
            <w:vAlign w:val="center"/>
            <w:hideMark/>
          </w:tcPr>
          <w:p w:rsidR="00A77B3E">
            <w:pPr>
              <w:rPr>
                <w:rFonts w:ascii="FangSong" w:eastAsia="FangSong" w:hAnsi="FangSong" w:cs="FangSong"/>
                <w:sz w:val="22"/>
                <w:szCs w:val="22"/>
              </w:rPr>
            </w:pPr>
          </w:p>
        </w:tc>
        <w:tc>
          <w:tcPr>
            <w:tcW w:w="3260"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2.重复申请</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vMerge/>
            <w:vAlign w:val="center"/>
            <w:hideMark/>
          </w:tcPr>
          <w:p w:rsidR="00A77B3E">
            <w:pPr>
              <w:rPr>
                <w:rFonts w:ascii="FangSong" w:eastAsia="FangSong" w:hAnsi="FangSong" w:cs="FangSong"/>
                <w:sz w:val="22"/>
                <w:szCs w:val="22"/>
              </w:rPr>
            </w:pPr>
          </w:p>
        </w:tc>
        <w:tc>
          <w:tcPr>
            <w:tcW w:w="3260"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3.要求提供公开出版物</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vMerge/>
            <w:vAlign w:val="center"/>
            <w:hideMark/>
          </w:tcPr>
          <w:p w:rsidR="00A77B3E">
            <w:pPr>
              <w:rPr>
                <w:rFonts w:ascii="FangSong" w:eastAsia="FangSong" w:hAnsi="FangSong" w:cs="FangSong"/>
                <w:sz w:val="22"/>
                <w:szCs w:val="22"/>
              </w:rPr>
            </w:pPr>
          </w:p>
        </w:tc>
        <w:tc>
          <w:tcPr>
            <w:tcW w:w="3260"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4.无正当理由大量反复申请</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vMerge/>
            <w:vAlign w:val="center"/>
            <w:hideMark/>
          </w:tcPr>
          <w:p w:rsidR="00A77B3E">
            <w:pPr>
              <w:rPr>
                <w:rFonts w:ascii="FangSong" w:eastAsia="FangSong" w:hAnsi="FangSong" w:cs="FangSong"/>
                <w:sz w:val="22"/>
                <w:szCs w:val="22"/>
              </w:rPr>
            </w:pPr>
          </w:p>
        </w:tc>
        <w:tc>
          <w:tcPr>
            <w:tcW w:w="3260" w:type="dxa"/>
            <w:noWrap w:val="0"/>
            <w:tcMar>
              <w:top w:w="15" w:type="dxa"/>
              <w:left w:w="20" w:type="dxa"/>
              <w:bottom w:w="15" w:type="dxa"/>
              <w:right w:w="20" w:type="dxa"/>
            </w:tcMar>
            <w:vAlign w:val="center"/>
            <w:hideMark/>
          </w:tcPr>
          <w:p w:rsidR="00A77B3E">
            <w:pPr>
              <w:spacing w:before="0" w:after="0"/>
              <w:ind w:left="0" w:right="0"/>
            </w:pPr>
            <w:r>
              <w:rPr>
                <w:rFonts w:ascii="SimSun" w:eastAsia="SimSun" w:hAnsi="SimSun" w:cs="SimSun"/>
                <w:sz w:val="20"/>
                <w:szCs w:val="20"/>
              </w:rPr>
              <w:t>5.要求行政机关确认或重新出具已获取信息</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tcW w:w="983" w:type="dxa"/>
            <w:vMerge w:val="restart"/>
            <w:tcBorders>
              <w:bottom w:val="none" w:sz="0" w:space="0" w:color="auto"/>
            </w:tcBorders>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（六）其他处理</w:t>
            </w:r>
          </w:p>
          <w:p w:rsidR="00A77B3E">
            <w:pPr>
              <w:spacing w:before="0" w:after="20"/>
              <w:ind w:left="0" w:right="0"/>
              <w:jc w:val="left"/>
            </w:pPr>
          </w:p>
          <w:p w:rsidR="00A77B3E">
            <w:pPr>
              <w:spacing w:before="0" w:after="20"/>
            </w:pPr>
          </w:p>
        </w:tc>
        <w:tc>
          <w:tcPr>
            <w:tcW w:w="3260" w:type="dxa"/>
            <w:noWrap w:val="0"/>
            <w:tcMar>
              <w:top w:w="15" w:type="dxa"/>
              <w:left w:w="20" w:type="dxa"/>
              <w:bottom w:w="15" w:type="dxa"/>
              <w:right w:w="20" w:type="dxa"/>
            </w:tcMar>
            <w:vAlign w:val="center"/>
            <w:hideMark/>
          </w:tcPr>
          <w:p w:rsidR="00A77B3E">
            <w:pPr>
              <w:spacing w:before="0" w:after="0"/>
              <w:ind w:left="0" w:right="0"/>
            </w:pPr>
            <w:r>
              <w:rPr>
                <w:rFonts w:ascii="SimSun" w:eastAsia="SimSun" w:hAnsi="SimSun" w:cs="SimSun"/>
                <w:sz w:val="20"/>
                <w:szCs w:val="20"/>
              </w:rPr>
              <w:t>1.申请人无正当理由逾期不补正、行政机关不再处理其政府信息公开申请</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vMerge/>
            <w:vAlign w:val="center"/>
            <w:hideMark/>
          </w:tcPr>
          <w:p w:rsidR="00A77B3E">
            <w:pPr>
              <w:rPr>
                <w:rFonts w:ascii="FangSong" w:eastAsia="FangSong" w:hAnsi="FangSong" w:cs="FangSong"/>
                <w:sz w:val="22"/>
                <w:szCs w:val="22"/>
              </w:rPr>
            </w:pPr>
          </w:p>
        </w:tc>
        <w:tc>
          <w:tcPr>
            <w:tcW w:w="3260" w:type="dxa"/>
            <w:noWrap w:val="0"/>
            <w:tcMar>
              <w:top w:w="15" w:type="dxa"/>
              <w:left w:w="20" w:type="dxa"/>
              <w:bottom w:w="15" w:type="dxa"/>
              <w:right w:w="20" w:type="dxa"/>
            </w:tcMar>
            <w:vAlign w:val="center"/>
            <w:hideMark/>
          </w:tcPr>
          <w:p w:rsidR="00A77B3E">
            <w:pPr>
              <w:spacing w:before="0" w:after="0"/>
              <w:ind w:left="0" w:right="0"/>
            </w:pPr>
            <w:r>
              <w:rPr>
                <w:rFonts w:ascii="SimSun" w:eastAsia="SimSun" w:hAnsi="SimSun" w:cs="SimSun"/>
                <w:sz w:val="20"/>
                <w:szCs w:val="20"/>
              </w:rPr>
              <w:t>2.申请人逾期未按收费通知要求缴纳费用、行政机关不再处理其政府信息公开申请</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vMerge/>
            <w:vAlign w:val="center"/>
            <w:hideMark/>
          </w:tcPr>
          <w:p w:rsidR="00A77B3E">
            <w:pPr>
              <w:rPr>
                <w:rFonts w:ascii="FangSong" w:eastAsia="FangSong" w:hAnsi="FangSong" w:cs="FangSong"/>
                <w:sz w:val="22"/>
                <w:szCs w:val="22"/>
              </w:rPr>
            </w:pPr>
          </w:p>
        </w:tc>
        <w:tc>
          <w:tcPr>
            <w:tcW w:w="3260" w:type="dxa"/>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3.其他</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FangSong" w:eastAsia="FangSong" w:hAnsi="FangSong" w:cs="FangSong"/>
                <w:sz w:val="22"/>
                <w:szCs w:val="22"/>
              </w:rPr>
            </w:pPr>
          </w:p>
        </w:tc>
        <w:tc>
          <w:tcPr>
            <w:tcW w:w="4203" w:type="dxa"/>
            <w:gridSpan w:val="2"/>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（七）总计</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r>
        <w:tblPrEx>
          <w:tblW w:w="9748" w:type="dxa"/>
          <w:tblInd w:w="20" w:type="dxa"/>
          <w:tblCellMar>
            <w:top w:w="15" w:type="dxa"/>
            <w:left w:w="15" w:type="dxa"/>
            <w:bottom w:w="15" w:type="dxa"/>
            <w:right w:w="15" w:type="dxa"/>
          </w:tblCellMar>
          <w:tblLook w:val="05E0"/>
        </w:tblPrEx>
        <w:tc>
          <w:tcPr>
            <w:tcW w:w="4971" w:type="dxa"/>
            <w:gridSpan w:val="3"/>
            <w:noWrap w:val="0"/>
            <w:tcMar>
              <w:top w:w="15" w:type="dxa"/>
              <w:left w:w="20" w:type="dxa"/>
              <w:bottom w:w="15" w:type="dxa"/>
              <w:right w:w="20" w:type="dxa"/>
            </w:tcMar>
            <w:vAlign w:val="center"/>
            <w:hideMark/>
          </w:tcPr>
          <w:p w:rsidR="00A77B3E">
            <w:pPr>
              <w:spacing w:before="0" w:after="0"/>
              <w:ind w:left="0" w:right="0"/>
              <w:jc w:val="left"/>
            </w:pPr>
            <w:r>
              <w:rPr>
                <w:rFonts w:ascii="SimSun" w:eastAsia="SimSun" w:hAnsi="SimSun" w:cs="SimSun"/>
                <w:sz w:val="20"/>
                <w:szCs w:val="20"/>
              </w:rPr>
              <w:t>四、结转下年度继续办理</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8"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729" w:type="dxa"/>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r>
    </w:tbl>
    <w:p w:rsidR="00A77B3E">
      <w:pPr>
        <w:spacing w:before="156" w:after="156"/>
        <w:ind w:firstLine="640"/>
        <w:jc w:val="left"/>
      </w:pPr>
      <w:r>
        <w:rPr>
          <w:rFonts w:ascii="SimHei" w:eastAsia="SimHei" w:hAnsi="SimHei" w:cs="SimHei"/>
          <w:color w:val="000000"/>
          <w:sz w:val="32"/>
          <w:szCs w:val="32"/>
        </w:rPr>
        <w:t>四、政府信息公开行政复议、行政诉讼情况</w:t>
      </w:r>
    </w:p>
    <w:tbl>
      <w:tblPr>
        <w:tblStyle w:val="TableNormal0"/>
        <w:tblW w:w="9748" w:type="dxa"/>
        <w:tblInd w:w="20" w:type="dxa"/>
        <w:tblCellMar>
          <w:top w:w="15" w:type="dxa"/>
          <w:left w:w="15" w:type="dxa"/>
          <w:bottom w:w="15" w:type="dxa"/>
          <w:right w:w="15" w:type="dxa"/>
        </w:tblCellMar>
        <w:tblLook w:val="05E0"/>
      </w:tblPr>
      <w:tblGrid>
        <w:gridCol w:w="840"/>
        <w:gridCol w:w="636"/>
        <w:gridCol w:w="636"/>
        <w:gridCol w:w="636"/>
        <w:gridCol w:w="636"/>
        <w:gridCol w:w="636"/>
        <w:gridCol w:w="636"/>
        <w:gridCol w:w="636"/>
        <w:gridCol w:w="636"/>
        <w:gridCol w:w="636"/>
        <w:gridCol w:w="637"/>
        <w:gridCol w:w="637"/>
        <w:gridCol w:w="637"/>
        <w:gridCol w:w="637"/>
        <w:gridCol w:w="637"/>
      </w:tblGrid>
      <w:tr>
        <w:tblPrEx>
          <w:tblW w:w="9748" w:type="dxa"/>
          <w:tblInd w:w="20" w:type="dxa"/>
          <w:tblCellMar>
            <w:top w:w="15" w:type="dxa"/>
            <w:left w:w="15" w:type="dxa"/>
            <w:bottom w:w="15" w:type="dxa"/>
            <w:right w:w="15" w:type="dxa"/>
          </w:tblCellMar>
          <w:tblLook w:val="05E0"/>
        </w:tblPrEx>
        <w:tc>
          <w:tcPr>
            <w:tcW w:w="3285" w:type="dxa"/>
            <w:gridSpan w:val="5"/>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sz w:val="20"/>
                <w:szCs w:val="20"/>
              </w:rPr>
              <w:t>行政复议</w:t>
            </w:r>
          </w:p>
        </w:tc>
        <w:tc>
          <w:tcPr>
            <w:tcW w:w="6543" w:type="dxa"/>
            <w:gridSpan w:val="10"/>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sz w:val="20"/>
                <w:szCs w:val="20"/>
              </w:rPr>
              <w:t>行政诉讼</w:t>
            </w:r>
          </w:p>
        </w:tc>
      </w:tr>
      <w:tr>
        <w:tblPrEx>
          <w:tblW w:w="9748" w:type="dxa"/>
          <w:tblInd w:w="20" w:type="dxa"/>
          <w:tblCellMar>
            <w:top w:w="15" w:type="dxa"/>
            <w:left w:w="15" w:type="dxa"/>
            <w:bottom w:w="15" w:type="dxa"/>
            <w:right w:w="15" w:type="dxa"/>
          </w:tblCellMar>
          <w:tblLook w:val="05E0"/>
        </w:tblPrEx>
        <w:tc>
          <w:tcPr>
            <w:tcW w:w="689" w:type="dxa"/>
            <w:vMerge w:val="restart"/>
            <w:tcBorders>
              <w:bottom w:val="none" w:sz="0" w:space="0" w:color="auto"/>
            </w:tcBorders>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sz w:val="20"/>
                <w:szCs w:val="20"/>
              </w:rPr>
              <w:t>结果维持</w:t>
            </w:r>
          </w:p>
          <w:p w:rsidR="00A77B3E">
            <w:pPr>
              <w:spacing w:before="0" w:after="20"/>
              <w:ind w:left="0" w:right="0"/>
              <w:jc w:val="left"/>
            </w:pPr>
          </w:p>
        </w:tc>
        <w:tc>
          <w:tcPr>
            <w:tcW w:w="689" w:type="dxa"/>
            <w:vMerge w:val="restart"/>
            <w:tcBorders>
              <w:bottom w:val="none" w:sz="0" w:space="0" w:color="auto"/>
            </w:tcBorders>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sz w:val="20"/>
                <w:szCs w:val="20"/>
              </w:rPr>
              <w:t>结果</w:t>
            </w:r>
            <w:r>
              <w:rPr>
                <w:rFonts w:ascii="SimSun" w:eastAsia="SimSun" w:hAnsi="SimSun" w:cs="SimSun"/>
                <w:sz w:val="20"/>
                <w:szCs w:val="20"/>
              </w:rPr>
              <w:br/>
            </w:r>
            <w:r>
              <w:rPr>
                <w:rFonts w:ascii="SimSun" w:eastAsia="SimSun" w:hAnsi="SimSun" w:cs="SimSun"/>
                <w:sz w:val="20"/>
                <w:szCs w:val="20"/>
              </w:rPr>
              <w:t>纠正</w:t>
            </w:r>
          </w:p>
          <w:p w:rsidR="00A77B3E">
            <w:pPr>
              <w:spacing w:before="0" w:after="20"/>
              <w:ind w:left="0" w:right="0"/>
              <w:jc w:val="left"/>
            </w:pPr>
          </w:p>
        </w:tc>
        <w:tc>
          <w:tcPr>
            <w:tcW w:w="689" w:type="dxa"/>
            <w:vMerge w:val="restart"/>
            <w:tcBorders>
              <w:bottom w:val="none" w:sz="0" w:space="0" w:color="auto"/>
            </w:tcBorders>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sz w:val="20"/>
                <w:szCs w:val="20"/>
              </w:rPr>
              <w:t>其他</w:t>
            </w:r>
            <w:r>
              <w:rPr>
                <w:rFonts w:ascii="SimSun" w:eastAsia="SimSun" w:hAnsi="SimSun" w:cs="SimSun"/>
                <w:sz w:val="20"/>
                <w:szCs w:val="20"/>
              </w:rPr>
              <w:br/>
            </w:r>
            <w:r>
              <w:rPr>
                <w:rFonts w:ascii="SimSun" w:eastAsia="SimSun" w:hAnsi="SimSun" w:cs="SimSun"/>
                <w:sz w:val="20"/>
                <w:szCs w:val="20"/>
              </w:rPr>
              <w:t>结果</w:t>
            </w:r>
          </w:p>
          <w:p w:rsidR="00A77B3E">
            <w:pPr>
              <w:spacing w:before="0" w:after="20"/>
              <w:ind w:left="0" w:right="0"/>
              <w:jc w:val="left"/>
            </w:pPr>
          </w:p>
        </w:tc>
        <w:tc>
          <w:tcPr>
            <w:tcW w:w="689" w:type="dxa"/>
            <w:vMerge w:val="restart"/>
            <w:tcBorders>
              <w:bottom w:val="none" w:sz="0" w:space="0" w:color="auto"/>
            </w:tcBorders>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sz w:val="20"/>
                <w:szCs w:val="20"/>
              </w:rPr>
              <w:t>尚未</w:t>
            </w:r>
            <w:r>
              <w:rPr>
                <w:rFonts w:ascii="SimSun" w:eastAsia="SimSun" w:hAnsi="SimSun" w:cs="SimSun"/>
                <w:sz w:val="20"/>
                <w:szCs w:val="20"/>
              </w:rPr>
              <w:br/>
            </w:r>
            <w:r>
              <w:rPr>
                <w:rFonts w:ascii="SimSun" w:eastAsia="SimSun" w:hAnsi="SimSun" w:cs="SimSun"/>
                <w:sz w:val="20"/>
                <w:szCs w:val="20"/>
              </w:rPr>
              <w:t>审结</w:t>
            </w:r>
          </w:p>
          <w:p w:rsidR="00A77B3E">
            <w:pPr>
              <w:spacing w:before="0" w:after="20"/>
              <w:ind w:left="0" w:right="0"/>
              <w:jc w:val="left"/>
            </w:pPr>
          </w:p>
        </w:tc>
        <w:tc>
          <w:tcPr>
            <w:tcW w:w="689" w:type="dxa"/>
            <w:vMerge w:val="restart"/>
            <w:tcBorders>
              <w:bottom w:val="none" w:sz="0" w:space="0" w:color="auto"/>
            </w:tcBorders>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sz w:val="20"/>
                <w:szCs w:val="20"/>
              </w:rPr>
              <w:t>总计</w:t>
            </w:r>
          </w:p>
          <w:p w:rsidR="00A77B3E">
            <w:pPr>
              <w:spacing w:before="0" w:after="20"/>
              <w:ind w:left="0" w:right="0"/>
              <w:jc w:val="left"/>
            </w:pPr>
          </w:p>
        </w:tc>
        <w:tc>
          <w:tcPr>
            <w:tcW w:w="3288" w:type="dxa"/>
            <w:gridSpan w:val="5"/>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sz w:val="20"/>
                <w:szCs w:val="20"/>
              </w:rPr>
              <w:t>未经复议直接起诉</w:t>
            </w:r>
          </w:p>
        </w:tc>
        <w:tc>
          <w:tcPr>
            <w:tcW w:w="3295" w:type="dxa"/>
            <w:gridSpan w:val="5"/>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sz w:val="20"/>
                <w:szCs w:val="20"/>
              </w:rPr>
              <w:t>复议后起诉</w:t>
            </w:r>
          </w:p>
        </w:tc>
      </w:tr>
      <w:tr>
        <w:tblPrEx>
          <w:tblW w:w="9748" w:type="dxa"/>
          <w:tblInd w:w="20" w:type="dxa"/>
          <w:tblCellMar>
            <w:top w:w="15" w:type="dxa"/>
            <w:left w:w="15" w:type="dxa"/>
            <w:bottom w:w="15" w:type="dxa"/>
            <w:right w:w="15" w:type="dxa"/>
          </w:tblCellMar>
          <w:tblLook w:val="05E0"/>
        </w:tblPrEx>
        <w:tc>
          <w:tcPr>
            <w:vMerge/>
            <w:vAlign w:val="center"/>
            <w:hideMark/>
          </w:tcPr>
          <w:p w:rsidR="00A77B3E">
            <w:pPr>
              <w:rPr>
                <w:rFonts w:ascii="SimSun" w:eastAsia="SimSun" w:hAnsi="SimSun" w:cs="SimSun"/>
                <w:sz w:val="20"/>
                <w:szCs w:val="20"/>
              </w:rPr>
            </w:pPr>
          </w:p>
        </w:tc>
        <w:tc>
          <w:tcPr>
            <w:vMerge/>
            <w:vAlign w:val="center"/>
            <w:hideMark/>
          </w:tcPr>
          <w:p w:rsidR="00A77B3E">
            <w:pPr>
              <w:rPr>
                <w:rFonts w:ascii="SimSun" w:eastAsia="SimSun" w:hAnsi="SimSun" w:cs="SimSun"/>
                <w:sz w:val="20"/>
                <w:szCs w:val="20"/>
              </w:rPr>
            </w:pPr>
          </w:p>
        </w:tc>
        <w:tc>
          <w:tcPr>
            <w:vMerge/>
            <w:vAlign w:val="center"/>
            <w:hideMark/>
          </w:tcPr>
          <w:p w:rsidR="00A77B3E">
            <w:pPr>
              <w:rPr>
                <w:rFonts w:ascii="SimSun" w:eastAsia="SimSun" w:hAnsi="SimSun" w:cs="SimSun"/>
                <w:sz w:val="20"/>
                <w:szCs w:val="20"/>
              </w:rPr>
            </w:pPr>
          </w:p>
        </w:tc>
        <w:tc>
          <w:tcPr>
            <w:vMerge/>
            <w:vAlign w:val="center"/>
            <w:hideMark/>
          </w:tcPr>
          <w:p w:rsidR="00A77B3E">
            <w:pPr>
              <w:rPr>
                <w:rFonts w:ascii="SimSun" w:eastAsia="SimSun" w:hAnsi="SimSun" w:cs="SimSun"/>
                <w:sz w:val="20"/>
                <w:szCs w:val="20"/>
              </w:rPr>
            </w:pPr>
          </w:p>
        </w:tc>
        <w:tc>
          <w:tcPr>
            <w:vMerge/>
            <w:vAlign w:val="center"/>
            <w:hideMark/>
          </w:tcPr>
          <w:p w:rsidR="00A77B3E">
            <w:pPr>
              <w:rPr>
                <w:rFonts w:ascii="SimSun" w:eastAsia="SimSun" w:hAnsi="SimSun" w:cs="SimSun"/>
                <w:sz w:val="20"/>
                <w:szCs w:val="20"/>
              </w:rPr>
            </w:pPr>
          </w:p>
        </w:tc>
        <w:tc>
          <w:tcPr>
            <w:tcW w:w="689" w:type="dxa"/>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sz w:val="20"/>
                <w:szCs w:val="20"/>
              </w:rPr>
              <w:t>结果</w:t>
            </w:r>
            <w:r>
              <w:rPr>
                <w:rFonts w:ascii="SimSun" w:eastAsia="SimSun" w:hAnsi="SimSun" w:cs="SimSun"/>
                <w:sz w:val="20"/>
                <w:szCs w:val="20"/>
              </w:rPr>
              <w:br/>
            </w:r>
            <w:r>
              <w:rPr>
                <w:rFonts w:ascii="SimSun" w:eastAsia="SimSun" w:hAnsi="SimSun" w:cs="SimSun"/>
                <w:sz w:val="20"/>
                <w:szCs w:val="20"/>
              </w:rPr>
              <w:t>维持</w:t>
            </w:r>
          </w:p>
        </w:tc>
        <w:tc>
          <w:tcPr>
            <w:tcW w:w="689" w:type="dxa"/>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sz w:val="20"/>
                <w:szCs w:val="20"/>
              </w:rPr>
              <w:t>结果</w:t>
            </w:r>
            <w:r>
              <w:rPr>
                <w:rFonts w:ascii="SimSun" w:eastAsia="SimSun" w:hAnsi="SimSun" w:cs="SimSun"/>
                <w:sz w:val="20"/>
                <w:szCs w:val="20"/>
              </w:rPr>
              <w:br/>
            </w:r>
            <w:r>
              <w:rPr>
                <w:rFonts w:ascii="SimSun" w:eastAsia="SimSun" w:hAnsi="SimSun" w:cs="SimSun"/>
                <w:sz w:val="20"/>
                <w:szCs w:val="20"/>
              </w:rPr>
              <w:t>纠正</w:t>
            </w:r>
          </w:p>
        </w:tc>
        <w:tc>
          <w:tcPr>
            <w:tcW w:w="690" w:type="dxa"/>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sz w:val="20"/>
                <w:szCs w:val="20"/>
              </w:rPr>
              <w:t>其他</w:t>
            </w:r>
            <w:r>
              <w:rPr>
                <w:rFonts w:ascii="SimSun" w:eastAsia="SimSun" w:hAnsi="SimSun" w:cs="SimSun"/>
                <w:sz w:val="20"/>
                <w:szCs w:val="20"/>
              </w:rPr>
              <w:br/>
            </w:r>
            <w:r>
              <w:rPr>
                <w:rFonts w:ascii="SimSun" w:eastAsia="SimSun" w:hAnsi="SimSun" w:cs="SimSun"/>
                <w:sz w:val="20"/>
                <w:szCs w:val="20"/>
              </w:rPr>
              <w:t>结果</w:t>
            </w:r>
          </w:p>
        </w:tc>
        <w:tc>
          <w:tcPr>
            <w:tcW w:w="690" w:type="dxa"/>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sz w:val="20"/>
                <w:szCs w:val="20"/>
              </w:rPr>
              <w:t>尚未</w:t>
            </w:r>
            <w:r>
              <w:rPr>
                <w:rFonts w:ascii="SimSun" w:eastAsia="SimSun" w:hAnsi="SimSun" w:cs="SimSun"/>
                <w:sz w:val="20"/>
                <w:szCs w:val="20"/>
              </w:rPr>
              <w:br/>
            </w:r>
            <w:r>
              <w:rPr>
                <w:rFonts w:ascii="SimSun" w:eastAsia="SimSun" w:hAnsi="SimSun" w:cs="SimSun"/>
                <w:sz w:val="20"/>
                <w:szCs w:val="20"/>
              </w:rPr>
              <w:t>审结</w:t>
            </w:r>
          </w:p>
        </w:tc>
        <w:tc>
          <w:tcPr>
            <w:tcW w:w="690" w:type="dxa"/>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color w:val="000000"/>
                <w:sz w:val="20"/>
                <w:szCs w:val="20"/>
              </w:rPr>
              <w:t>总计</w:t>
            </w:r>
          </w:p>
        </w:tc>
        <w:tc>
          <w:tcPr>
            <w:tcW w:w="691" w:type="dxa"/>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sz w:val="20"/>
                <w:szCs w:val="20"/>
              </w:rPr>
              <w:t>结果</w:t>
            </w:r>
            <w:r>
              <w:rPr>
                <w:rFonts w:ascii="SimSun" w:eastAsia="SimSun" w:hAnsi="SimSun" w:cs="SimSun"/>
                <w:sz w:val="20"/>
                <w:szCs w:val="20"/>
              </w:rPr>
              <w:br/>
            </w:r>
            <w:r>
              <w:rPr>
                <w:rFonts w:ascii="SimSun" w:eastAsia="SimSun" w:hAnsi="SimSun" w:cs="SimSun"/>
                <w:sz w:val="20"/>
                <w:szCs w:val="20"/>
              </w:rPr>
              <w:t>维持</w:t>
            </w:r>
          </w:p>
        </w:tc>
        <w:tc>
          <w:tcPr>
            <w:tcW w:w="691" w:type="dxa"/>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sz w:val="20"/>
                <w:szCs w:val="20"/>
              </w:rPr>
              <w:t>结果</w:t>
            </w:r>
            <w:r>
              <w:rPr>
                <w:rFonts w:ascii="SimSun" w:eastAsia="SimSun" w:hAnsi="SimSun" w:cs="SimSun"/>
                <w:sz w:val="20"/>
                <w:szCs w:val="20"/>
              </w:rPr>
              <w:br/>
            </w:r>
            <w:r>
              <w:rPr>
                <w:rFonts w:ascii="SimSun" w:eastAsia="SimSun" w:hAnsi="SimSun" w:cs="SimSun"/>
                <w:sz w:val="20"/>
                <w:szCs w:val="20"/>
              </w:rPr>
              <w:t>纠正</w:t>
            </w:r>
          </w:p>
        </w:tc>
        <w:tc>
          <w:tcPr>
            <w:tcW w:w="691" w:type="dxa"/>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color w:val="000000"/>
                <w:sz w:val="20"/>
                <w:szCs w:val="20"/>
              </w:rPr>
              <w:t>其他</w:t>
            </w:r>
            <w:r>
              <w:rPr>
                <w:rFonts w:ascii="SimSun" w:eastAsia="SimSun" w:hAnsi="SimSun" w:cs="SimSun"/>
                <w:color w:val="000000"/>
                <w:sz w:val="20"/>
                <w:szCs w:val="20"/>
              </w:rPr>
              <w:br/>
            </w:r>
            <w:r>
              <w:rPr>
                <w:rFonts w:ascii="SimSun" w:eastAsia="SimSun" w:hAnsi="SimSun" w:cs="SimSun"/>
                <w:color w:val="000000"/>
                <w:sz w:val="20"/>
                <w:szCs w:val="20"/>
              </w:rPr>
              <w:t>结果</w:t>
            </w:r>
          </w:p>
        </w:tc>
        <w:tc>
          <w:tcPr>
            <w:tcW w:w="691" w:type="dxa"/>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sz w:val="20"/>
                <w:szCs w:val="20"/>
              </w:rPr>
              <w:t>尚未</w:t>
            </w:r>
            <w:r>
              <w:rPr>
                <w:rFonts w:ascii="SimSun" w:eastAsia="SimSun" w:hAnsi="SimSun" w:cs="SimSun"/>
                <w:sz w:val="20"/>
                <w:szCs w:val="20"/>
              </w:rPr>
              <w:br/>
            </w:r>
            <w:r>
              <w:rPr>
                <w:rFonts w:ascii="SimSun" w:eastAsia="SimSun" w:hAnsi="SimSun" w:cs="SimSun"/>
                <w:sz w:val="20"/>
                <w:szCs w:val="20"/>
              </w:rPr>
              <w:t>审结</w:t>
            </w:r>
          </w:p>
        </w:tc>
        <w:tc>
          <w:tcPr>
            <w:tcW w:w="691" w:type="dxa"/>
            <w:noWrap w:val="0"/>
            <w:tcMar>
              <w:top w:w="15" w:type="dxa"/>
              <w:left w:w="20" w:type="dxa"/>
              <w:bottom w:w="15" w:type="dxa"/>
              <w:right w:w="20" w:type="dxa"/>
            </w:tcMar>
            <w:vAlign w:val="center"/>
            <w:hideMark/>
          </w:tcPr>
          <w:p w:rsidR="00A77B3E">
            <w:pPr>
              <w:spacing w:before="0" w:after="0"/>
              <w:ind w:left="0" w:right="0" w:firstLine="0"/>
              <w:jc w:val="center"/>
            </w:pPr>
            <w:r>
              <w:rPr>
                <w:rFonts w:ascii="SimSun" w:eastAsia="SimSun" w:hAnsi="SimSun" w:cs="SimSun"/>
                <w:color w:val="000000"/>
                <w:sz w:val="20"/>
                <w:szCs w:val="20"/>
              </w:rPr>
              <w:t>总计</w:t>
            </w:r>
          </w:p>
        </w:tc>
      </w:tr>
      <w:tr>
        <w:tblPrEx>
          <w:tblW w:w="9748" w:type="dxa"/>
          <w:tblInd w:w="20" w:type="dxa"/>
          <w:tblCellMar>
            <w:top w:w="15" w:type="dxa"/>
            <w:left w:w="15" w:type="dxa"/>
            <w:bottom w:w="15" w:type="dxa"/>
            <w:right w:w="15" w:type="dxa"/>
          </w:tblCellMar>
          <w:tblLook w:val="05E0"/>
        </w:tblPrEx>
        <w:tc>
          <w:tcPr>
            <w:tcW w:w="689"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689"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689"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689"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689"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689"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689"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690"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690"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690"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691"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691"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691"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691" w:type="dxa"/>
            <w:shd w:val="clear" w:color="auto" w:fill="FFFFFF"/>
            <w:noWrap w:val="0"/>
            <w:tcMar>
              <w:top w:w="15" w:type="dxa"/>
              <w:left w:w="20" w:type="dxa"/>
              <w:bottom w:w="15" w:type="dxa"/>
              <w:right w:w="20" w:type="dxa"/>
            </w:tcMar>
            <w:vAlign w:val="center"/>
            <w:hideMark/>
          </w:tcPr>
          <w:p w:rsidR="00A77B3E">
            <w:pPr>
              <w:spacing w:before="0" w:after="20"/>
              <w:jc w:val="center"/>
            </w:pPr>
            <w:r>
              <w:rPr>
                <w:rFonts w:ascii="FangSong" w:eastAsia="FangSong" w:hAnsi="FangSong" w:cs="FangSong"/>
                <w:sz w:val="22"/>
                <w:szCs w:val="22"/>
              </w:rPr>
              <w:t>0</w:t>
            </w:r>
          </w:p>
        </w:tc>
        <w:tc>
          <w:tcPr>
            <w:tcW w:w="691" w:type="dxa"/>
            <w:noWrap w:val="0"/>
            <w:tcMar>
              <w:top w:w="15" w:type="dxa"/>
              <w:left w:w="20" w:type="dxa"/>
              <w:bottom w:w="15" w:type="dxa"/>
              <w:right w:w="20" w:type="dxa"/>
            </w:tcMar>
            <w:vAlign w:val="center"/>
            <w:hideMark/>
          </w:tcPr>
          <w:p w:rsidR="00A77B3E">
            <w:pPr>
              <w:spacing w:before="0" w:after="20"/>
            </w:pPr>
            <w:r>
              <w:rPr>
                <w:rFonts w:ascii="SimSun" w:eastAsia="SimSun" w:hAnsi="SimSun" w:cs="SimSun"/>
                <w:sz w:val="24"/>
                <w:szCs w:val="24"/>
              </w:rPr>
              <w:t>0</w:t>
            </w:r>
          </w:p>
        </w:tc>
      </w:tr>
    </w:tbl>
    <w:p w:rsidR="00A77B3E">
      <w:pPr>
        <w:spacing w:before="156" w:after="156"/>
        <w:ind w:firstLine="640"/>
        <w:jc w:val="left"/>
      </w:pPr>
      <w:r>
        <w:rPr>
          <w:rFonts w:ascii="SimHei" w:eastAsia="SimHei" w:hAnsi="SimHei" w:cs="SimHei"/>
          <w:color w:val="000000"/>
          <w:sz w:val="32"/>
          <w:szCs w:val="32"/>
        </w:rPr>
        <w:t>五、存在的主要问题及改进情况</w:t>
      </w:r>
    </w:p>
    <w:p w:rsidR="00A77B3E">
      <w:pPr>
        <w:spacing w:before="0" w:after="20"/>
        <w:ind w:firstLine="640"/>
      </w:pPr>
      <w:r>
        <w:rPr>
          <w:rFonts w:ascii="FangSong" w:eastAsia="FangSong" w:hAnsi="FangSong" w:cs="FangSong"/>
          <w:sz w:val="32"/>
          <w:szCs w:val="32"/>
        </w:rPr>
        <w:t>我局政府信息公开工作尽管取得了一定成绩，但与县委</w:t>
      </w:r>
      <w:r>
        <w:rPr>
          <w:rFonts w:ascii="FangSong" w:eastAsia="FangSong" w:hAnsi="FangSong" w:cs="FangSong"/>
          <w:sz w:val="32"/>
          <w:szCs w:val="32"/>
        </w:rPr>
        <w:t>、 县政府的要求和广大群众的需求相比，仍然存在一些不容忽</w:t>
      </w:r>
      <w:r>
        <w:rPr>
          <w:rFonts w:ascii="FangSong" w:eastAsia="FangSong" w:hAnsi="FangSong" w:cs="FangSong"/>
          <w:sz w:val="32"/>
          <w:szCs w:val="32"/>
        </w:rPr>
        <w:t>视的问题。主要表现在：由于政务公开涉及面广、政策性强</w:t>
      </w:r>
      <w:r>
        <w:rPr>
          <w:rFonts w:ascii="FangSong" w:eastAsia="FangSong" w:hAnsi="FangSong" w:cs="FangSong"/>
          <w:sz w:val="32"/>
          <w:szCs w:val="32"/>
        </w:rPr>
        <w:t>，政府信息公开的体制机制仍需进一步完善，信息公开的时效性有待进一步提高，公开的形式还不够丰富，公开的格式上还不够完全统一。</w:t>
      </w:r>
    </w:p>
    <w:p w:rsidR="00A77B3E">
      <w:pPr>
        <w:spacing w:before="0" w:after="20"/>
        <w:ind w:firstLine="640"/>
      </w:pPr>
      <w:r>
        <w:rPr>
          <w:rFonts w:ascii="FangSong" w:eastAsia="FangSong" w:hAnsi="FangSong" w:cs="FangSong"/>
          <w:sz w:val="32"/>
          <w:szCs w:val="32"/>
        </w:rPr>
        <w:t>下一步</w:t>
      </w:r>
      <w:r>
        <w:rPr>
          <w:rFonts w:ascii="FangSong" w:eastAsia="FangSong" w:hAnsi="FangSong" w:cs="FangSong"/>
          <w:sz w:val="32"/>
          <w:szCs w:val="32"/>
        </w:rPr>
        <w:t>，</w:t>
      </w:r>
      <w:r>
        <w:rPr>
          <w:rFonts w:ascii="FangSong" w:eastAsia="FangSong" w:hAnsi="FangSong" w:cs="FangSong"/>
          <w:sz w:val="32"/>
          <w:szCs w:val="32"/>
        </w:rPr>
        <w:t>我局将深入贯彻落实《中华人民共和国政府</w:t>
      </w:r>
      <w:r>
        <w:rPr>
          <w:rStyle w:val="data-span-error0"/>
          <w:rFonts w:ascii="FangSong" w:eastAsia="FangSong" w:hAnsi="FangSong" w:cs="FangSong"/>
          <w:sz w:val="32"/>
          <w:szCs w:val="32"/>
        </w:rPr>
        <w:t>信息公开</w:t>
      </w:r>
      <w:r>
        <w:rPr>
          <w:rFonts w:ascii="FangSong" w:eastAsia="FangSong" w:hAnsi="FangSong" w:cs="FangSong"/>
          <w:sz w:val="32"/>
          <w:szCs w:val="32"/>
        </w:rPr>
        <w:t xml:space="preserve">条例》精神，进一步加强组织领导，明确工作责任， </w:t>
      </w:r>
      <w:r>
        <w:rPr>
          <w:rFonts w:ascii="Calibri" w:eastAsia="Calibri" w:hAnsi="Calibri" w:cs="Calibri"/>
          <w:sz w:val="32"/>
          <w:szCs w:val="32"/>
        </w:rPr>
        <w:t> </w:t>
      </w:r>
      <w:r>
        <w:rPr>
          <w:rFonts w:ascii="FangSong" w:eastAsia="FangSong" w:hAnsi="FangSong" w:cs="FangSong"/>
          <w:sz w:val="32"/>
          <w:szCs w:val="32"/>
        </w:rPr>
        <w:t>持续推进政务公开工作。一是健全工作机制，加大培训教育 力度，夯实公开责任，确保公开质量；二是强化政务公开工 作与日常业务工作</w:t>
      </w:r>
      <w:r>
        <w:rPr>
          <w:rStyle w:val="word"/>
          <w:rFonts w:ascii="FangSong" w:eastAsia="FangSong" w:hAnsi="FangSong" w:cs="FangSong"/>
          <w:sz w:val="32"/>
          <w:szCs w:val="32"/>
        </w:rPr>
        <w:t>的紧</w:t>
      </w:r>
      <w:r>
        <w:rPr>
          <w:rFonts w:ascii="FangSong" w:eastAsia="FangSong" w:hAnsi="FangSong" w:cs="FangSong"/>
          <w:sz w:val="32"/>
          <w:szCs w:val="32"/>
        </w:rPr>
        <w:t xml:space="preserve">密对接，规范政府信息公开流程，细 </w:t>
      </w:r>
      <w:r>
        <w:rPr>
          <w:rFonts w:ascii="FangSong" w:eastAsia="FangSong" w:hAnsi="FangSong" w:cs="FangSong"/>
          <w:sz w:val="32"/>
          <w:szCs w:val="32"/>
        </w:rPr>
        <w:t>化政府信息公开内容；三是充分利用政府网站、微信、报刊</w:t>
      </w:r>
      <w:r>
        <w:rPr>
          <w:rFonts w:ascii="FangSong" w:eastAsia="FangSong" w:hAnsi="FangSong" w:cs="FangSong"/>
          <w:sz w:val="32"/>
          <w:szCs w:val="32"/>
        </w:rPr>
        <w:t>、 公告栏等推进群众关注度高的事项公开</w:t>
      </w:r>
      <w:r>
        <w:rPr>
          <w:rFonts w:ascii="FangSong" w:eastAsia="FangSong" w:hAnsi="FangSong" w:cs="FangSong"/>
          <w:sz w:val="32"/>
          <w:szCs w:val="32"/>
        </w:rPr>
        <w:t>，</w:t>
      </w:r>
      <w:r>
        <w:rPr>
          <w:rStyle w:val="data-span-error2"/>
          <w:rFonts w:ascii="FangSong" w:eastAsia="FangSong" w:hAnsi="FangSong" w:cs="FangSong"/>
          <w:sz w:val="32"/>
          <w:szCs w:val="32"/>
        </w:rPr>
        <w:t>方便</w:t>
      </w:r>
      <w:r>
        <w:rPr>
          <w:rFonts w:ascii="FangSong" w:eastAsia="FangSong" w:hAnsi="FangSong" w:cs="FangSong"/>
          <w:sz w:val="32"/>
          <w:szCs w:val="32"/>
        </w:rPr>
        <w:t>群众查询和了解相关信息。</w:t>
      </w:r>
    </w:p>
    <w:p w:rsidR="00A77B3E">
      <w:pPr>
        <w:spacing w:before="156" w:after="156"/>
        <w:ind w:firstLine="640"/>
        <w:jc w:val="left"/>
      </w:pPr>
      <w:r>
        <w:rPr>
          <w:rFonts w:ascii="SimHei" w:eastAsia="SimHei" w:hAnsi="SimHei" w:cs="SimHei"/>
          <w:color w:val="000000"/>
          <w:sz w:val="32"/>
          <w:szCs w:val="32"/>
        </w:rPr>
        <w:t>六、其他需要报告的事项</w:t>
      </w:r>
    </w:p>
    <w:p w:rsidR="00A77B3E">
      <w:pPr>
        <w:spacing w:before="0" w:after="20"/>
        <w:ind w:firstLine="640"/>
      </w:pPr>
      <w:r>
        <w:rPr>
          <w:rFonts w:ascii="FangSong" w:eastAsia="FangSong" w:hAnsi="FangSong" w:cs="FangSong"/>
          <w:sz w:val="32"/>
          <w:szCs w:val="32"/>
        </w:rPr>
        <w:t>无其他需要报告的事项</w:t>
      </w:r>
      <w:r>
        <w:rPr>
          <w:rFonts w:ascii="FangSong" w:eastAsia="FangSong" w:hAnsi="FangSong" w:cs="FangSong"/>
          <w:sz w:val="32"/>
          <w:szCs w:val="32"/>
        </w:rPr>
        <w: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ata-span-seriousError0">
    <w:name w:val="data-span-seriousError0"/>
    <w:basedOn w:val="DefaultParagraphFont"/>
  </w:style>
  <w:style w:type="table" w:customStyle="1" w:styleId="TableNormal0">
    <w:name w:val="TableNormal"/>
    <w:basedOn w:val="TableNormal"/>
    <w:tblPr/>
  </w:style>
  <w:style w:type="character" w:customStyle="1" w:styleId="errorwordsensitivemgcdata-span-mgc0ignoreword">
    <w:name w:val="errorword sensitive mgc data-span-mgc0 ignoreword"/>
    <w:basedOn w:val="DefaultParagraphFont"/>
  </w:style>
  <w:style w:type="character" w:customStyle="1" w:styleId="word">
    <w:name w:val="word"/>
    <w:basedOn w:val="DefaultParagraphFont"/>
  </w:style>
  <w:style w:type="character" w:customStyle="1" w:styleId="data-span-error0">
    <w:name w:val="data-span-error0"/>
    <w:basedOn w:val="DefaultParagraphFont"/>
  </w:style>
  <w:style w:type="character" w:customStyle="1" w:styleId="errorwordcorrectableerrordata-span-error1ignoreword">
    <w:name w:val="errorword correctable error data-span-error1 ignoreword"/>
    <w:basedOn w:val="DefaultParagraphFont"/>
  </w:style>
  <w:style w:type="character" w:customStyle="1" w:styleId="data-span-error2">
    <w:name w:val="data-span-error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