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10.0 -->
  <w:body>
    <w:p w:rsidR="00A77B3E">
      <w:pPr>
        <w:spacing w:before="0" w:after="20"/>
        <w:jc w:val="center"/>
      </w:pPr>
    </w:p>
    <w:p w:rsidR="00A77B3E">
      <w:pPr>
        <w:spacing w:before="0" w:after="20"/>
        <w:jc w:val="center"/>
      </w:pPr>
    </w:p>
    <w:p w:rsidR="00A77B3E">
      <w:pPr>
        <w:spacing w:before="0" w:after="20"/>
        <w:jc w:val="center"/>
      </w:pPr>
    </w:p>
    <w:p w:rsidR="00A77B3E">
      <w:pPr>
        <w:spacing w:before="0" w:after="2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定襄县能源局</w:t>
      </w:r>
    </w:p>
    <w:p w:rsidR="00A77B3E">
      <w:pPr>
        <w:spacing w:before="0" w:after="2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2024年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政府信息公开工作年度报告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sz w:val="32"/>
          <w:szCs w:val="32"/>
        </w:rPr>
        <w:t>根据《</w:t>
      </w:r>
      <w:r>
        <w:rPr>
          <w:rFonts w:ascii="FangSong" w:eastAsia="FangSong" w:hAnsi="FangSong" w:cs="FangSong"/>
          <w:sz w:val="32"/>
          <w:szCs w:val="32"/>
        </w:rPr>
        <w:t>中华人民共和国政府信息公开条例</w:t>
      </w:r>
      <w:r>
        <w:rPr>
          <w:rFonts w:ascii="FangSong" w:eastAsia="FangSong" w:hAnsi="FangSong" w:cs="FangSong"/>
          <w:sz w:val="32"/>
          <w:szCs w:val="32"/>
        </w:rPr>
        <w:t>》(中华人民共和国国务院令第711号)要求，编制了《定襄县能源局202</w:t>
      </w:r>
      <w:r>
        <w:rPr>
          <w:rFonts w:ascii="FangSong" w:eastAsia="FangSong" w:hAnsi="FangSong" w:cs="FangSong"/>
          <w:sz w:val="32"/>
          <w:szCs w:val="32"/>
        </w:rPr>
        <w:t>4</w:t>
      </w:r>
      <w:r>
        <w:rPr>
          <w:rFonts w:ascii="FangSong" w:eastAsia="FangSong" w:hAnsi="FangSong" w:cs="FangSong"/>
          <w:sz w:val="32"/>
          <w:szCs w:val="32"/>
        </w:rPr>
        <w:t>年政府信息公开工作年度报告》</w:t>
      </w:r>
      <w:r>
        <w:rPr>
          <w:rFonts w:ascii="FangSong" w:eastAsia="FangSong" w:hAnsi="FangSong" w:cs="FangSong"/>
          <w:sz w:val="32"/>
          <w:szCs w:val="32"/>
        </w:rPr>
        <w:t>，</w:t>
      </w:r>
      <w:r>
        <w:rPr>
          <w:rFonts w:ascii="FangSong" w:eastAsia="FangSong" w:hAnsi="FangSong" w:cs="FangSong"/>
          <w:sz w:val="32"/>
          <w:szCs w:val="32"/>
        </w:rPr>
        <w:t>本报告中所列数据统计期限自202</w:t>
      </w:r>
      <w:r>
        <w:rPr>
          <w:rFonts w:ascii="FangSong" w:eastAsia="FangSong" w:hAnsi="FangSong" w:cs="FangSong"/>
          <w:sz w:val="32"/>
          <w:szCs w:val="32"/>
        </w:rPr>
        <w:t>4</w:t>
      </w:r>
      <w:r>
        <w:rPr>
          <w:rFonts w:ascii="FangSong" w:eastAsia="FangSong" w:hAnsi="FangSong" w:cs="FangSong"/>
          <w:sz w:val="32"/>
          <w:szCs w:val="32"/>
        </w:rPr>
        <w:t>年1月1日起至202</w:t>
      </w:r>
      <w:r>
        <w:rPr>
          <w:rFonts w:ascii="FangSong" w:eastAsia="FangSong" w:hAnsi="FangSong" w:cs="FangSong"/>
          <w:sz w:val="32"/>
          <w:szCs w:val="32"/>
        </w:rPr>
        <w:t>4</w:t>
      </w:r>
      <w:r>
        <w:rPr>
          <w:rFonts w:ascii="FangSong" w:eastAsia="FangSong" w:hAnsi="FangSong" w:cs="FangSong"/>
          <w:sz w:val="32"/>
          <w:szCs w:val="32"/>
        </w:rPr>
        <w:t>年12月31日止</w:t>
      </w:r>
      <w:r>
        <w:rPr>
          <w:rFonts w:ascii="FangSong" w:eastAsia="FangSong" w:hAnsi="FangSong" w:cs="FangSong"/>
          <w:sz w:val="32"/>
          <w:szCs w:val="32"/>
        </w:rPr>
        <w:t>。</w:t>
      </w:r>
    </w:p>
    <w:p w:rsidR="00A77B3E">
      <w:pPr>
        <w:spacing w:before="0" w:after="20"/>
        <w:ind w:firstLine="640"/>
      </w:pPr>
      <w:r>
        <w:rPr>
          <w:rFonts w:ascii="SimHei" w:eastAsia="SimHei" w:hAnsi="SimHei" w:cs="SimHei"/>
          <w:sz w:val="32"/>
          <w:szCs w:val="32"/>
        </w:rPr>
        <w:t>一、</w:t>
      </w:r>
      <w:r>
        <w:rPr>
          <w:rFonts w:ascii="SimHei" w:eastAsia="SimHei" w:hAnsi="SimHei" w:cs="SimHei"/>
          <w:sz w:val="32"/>
          <w:szCs w:val="32"/>
        </w:rPr>
        <w:t>总体情况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sz w:val="32"/>
          <w:szCs w:val="32"/>
        </w:rPr>
        <w:t>202</w:t>
      </w:r>
      <w:r>
        <w:rPr>
          <w:rFonts w:ascii="FangSong" w:eastAsia="FangSong" w:hAnsi="FangSong" w:cs="FangSong"/>
          <w:sz w:val="32"/>
          <w:szCs w:val="32"/>
        </w:rPr>
        <w:t>4</w:t>
      </w:r>
      <w:r>
        <w:rPr>
          <w:rFonts w:ascii="FangSong" w:eastAsia="FangSong" w:hAnsi="FangSong" w:cs="FangSong"/>
          <w:sz w:val="32"/>
          <w:szCs w:val="32"/>
        </w:rPr>
        <w:t>年以来，</w:t>
      </w:r>
      <w:r>
        <w:rPr>
          <w:rFonts w:ascii="FangSong" w:eastAsia="FangSong" w:hAnsi="FangSong" w:cs="FangSong"/>
          <w:sz w:val="32"/>
          <w:szCs w:val="32"/>
        </w:rPr>
        <w:t>在</w:t>
      </w:r>
      <w:r>
        <w:rPr>
          <w:rStyle w:val="data-span-error0"/>
          <w:rFonts w:ascii="FangSong" w:eastAsia="FangSong" w:hAnsi="FangSong" w:cs="FangSong"/>
          <w:sz w:val="32"/>
          <w:szCs w:val="32"/>
        </w:rPr>
        <w:t>县委、县政府</w:t>
      </w:r>
      <w:r>
        <w:rPr>
          <w:rFonts w:ascii="FangSong" w:eastAsia="FangSong" w:hAnsi="FangSong" w:cs="FangSong"/>
          <w:sz w:val="32"/>
          <w:szCs w:val="32"/>
        </w:rPr>
        <w:t>的坚强领导下，能源局认真贯彻</w:t>
      </w:r>
      <w:r>
        <w:rPr>
          <w:rFonts w:ascii="FangSong" w:eastAsia="FangSong" w:hAnsi="FangSong" w:cs="FangSong"/>
          <w:sz w:val="32"/>
          <w:szCs w:val="32"/>
        </w:rPr>
        <w:t>《中华人民共和国政府信息公开条例》要求，坚持</w:t>
      </w:r>
      <w:r>
        <w:rPr>
          <w:rFonts w:ascii="FangSong" w:eastAsia="FangSong" w:hAnsi="FangSong" w:cs="FangSong"/>
          <w:sz w:val="32"/>
          <w:szCs w:val="32"/>
        </w:rPr>
        <w:t>以</w:t>
      </w:r>
      <w:r>
        <w:rPr>
          <w:rFonts w:ascii="FangSong" w:eastAsia="FangSong" w:hAnsi="FangSong" w:cs="FangSong"/>
          <w:sz w:val="32"/>
          <w:szCs w:val="32"/>
        </w:rPr>
        <w:t>公开为</w:t>
      </w:r>
      <w:r>
        <w:rPr>
          <w:rFonts w:ascii="FangSong" w:eastAsia="FangSong" w:hAnsi="FangSong" w:cs="FangSong"/>
          <w:sz w:val="32"/>
          <w:szCs w:val="32"/>
        </w:rPr>
        <w:t>常态，不公开为例外的</w:t>
      </w:r>
      <w:r>
        <w:rPr>
          <w:rFonts w:ascii="FangSong" w:eastAsia="FangSong" w:hAnsi="FangSong" w:cs="FangSong"/>
          <w:sz w:val="32"/>
          <w:szCs w:val="32"/>
        </w:rPr>
        <w:t>基本原则，</w:t>
      </w:r>
      <w:r>
        <w:rPr>
          <w:rFonts w:ascii="FangSong" w:eastAsia="FangSong" w:hAnsi="FangSong" w:cs="FangSong"/>
          <w:sz w:val="32"/>
          <w:szCs w:val="32"/>
        </w:rPr>
        <w:t>持续</w:t>
      </w:r>
      <w:r>
        <w:rPr>
          <w:rFonts w:ascii="FangSong" w:eastAsia="FangSong" w:hAnsi="FangSong" w:cs="FangSong"/>
          <w:color w:val="000000"/>
          <w:sz w:val="32"/>
          <w:szCs w:val="32"/>
        </w:rPr>
        <w:t>健全信息公开工作机制，完善信息公开制度，提高工作透明度和公信力。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color w:val="000000"/>
          <w:sz w:val="32"/>
          <w:szCs w:val="32"/>
        </w:rPr>
        <w:t>（一）</w:t>
      </w:r>
      <w:r>
        <w:rPr>
          <w:rFonts w:ascii="FangSong" w:eastAsia="FangSong" w:hAnsi="FangSong" w:cs="FangSong"/>
          <w:color w:val="000000"/>
          <w:sz w:val="32"/>
          <w:szCs w:val="32"/>
        </w:rPr>
        <w:t>主动公开方面。按照"应公开、尽公开"的原则，在政务公开栏主动公开涉及能源领域的政策文件，保障公民知情权。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color w:val="000000"/>
          <w:sz w:val="32"/>
          <w:szCs w:val="32"/>
        </w:rPr>
        <w:t>（二）依申请公开方面。依法依规做好政府信息依申请公开工作，全年共收到和办理依申请公开0件。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color w:val="000000"/>
          <w:sz w:val="32"/>
          <w:szCs w:val="32"/>
        </w:rPr>
        <w:t>（三）政府信息管理方面。进一步加强和完善信息管理工作机制，强化日常拟发信息管理，严格信息发布审校和保密审查流程，落实"先审后发""一事一审"原则，切实保障政务公开和政府信息公开工作高效开展。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sz w:val="32"/>
          <w:szCs w:val="32"/>
        </w:rPr>
        <w:t>（</w:t>
      </w:r>
      <w:r>
        <w:rPr>
          <w:rFonts w:ascii="FangSong" w:eastAsia="FangSong" w:hAnsi="FangSong" w:cs="FangSong"/>
          <w:sz w:val="32"/>
          <w:szCs w:val="32"/>
        </w:rPr>
        <w:t>四）政府信息公开平台建设情况</w:t>
      </w:r>
      <w:r>
        <w:rPr>
          <w:rFonts w:ascii="FangSong" w:eastAsia="FangSong" w:hAnsi="FangSong" w:cs="FangSong"/>
          <w:sz w:val="32"/>
          <w:szCs w:val="32"/>
        </w:rPr>
        <w:t>方面</w:t>
      </w:r>
      <w:r>
        <w:rPr>
          <w:rFonts w:ascii="FangSong" w:eastAsia="FangSong" w:hAnsi="FangSong" w:cs="FangSong"/>
          <w:sz w:val="32"/>
          <w:szCs w:val="32"/>
        </w:rPr>
        <w:t>。</w:t>
      </w:r>
      <w:r>
        <w:rPr>
          <w:rFonts w:ascii="FangSong" w:eastAsia="FangSong" w:hAnsi="FangSong" w:cs="FangSong"/>
          <w:sz w:val="32"/>
          <w:szCs w:val="32"/>
        </w:rPr>
        <w:t>认真做好政务信息的更新，积极配合县人民政府平台建设</w:t>
      </w:r>
      <w:r>
        <w:rPr>
          <w:rFonts w:ascii="FangSong" w:eastAsia="FangSong" w:hAnsi="FangSong" w:cs="FangSong"/>
          <w:sz w:val="32"/>
          <w:szCs w:val="32"/>
        </w:rPr>
        <w:t xml:space="preserve">。 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sz w:val="32"/>
          <w:szCs w:val="32"/>
        </w:rPr>
        <w:t>（五）监督保障情况</w:t>
      </w:r>
      <w:r>
        <w:rPr>
          <w:rFonts w:ascii="FangSong" w:eastAsia="FangSong" w:hAnsi="FangSong" w:cs="FangSong"/>
          <w:sz w:val="32"/>
          <w:szCs w:val="32"/>
        </w:rPr>
        <w:t>方面</w:t>
      </w:r>
      <w:r>
        <w:rPr>
          <w:rFonts w:ascii="FangSong" w:eastAsia="FangSong" w:hAnsi="FangSong" w:cs="FangSong"/>
          <w:sz w:val="32"/>
          <w:szCs w:val="32"/>
        </w:rPr>
        <w:t>。</w:t>
      </w:r>
      <w:r>
        <w:rPr>
          <w:rFonts w:ascii="FangSong" w:eastAsia="FangSong" w:hAnsi="FangSong" w:cs="FangSong"/>
          <w:sz w:val="32"/>
          <w:szCs w:val="32"/>
        </w:rPr>
        <w:t>严格</w:t>
      </w:r>
      <w:r>
        <w:rPr>
          <w:rFonts w:ascii="FangSong" w:eastAsia="FangSong" w:hAnsi="FangSong" w:cs="FangSong"/>
          <w:sz w:val="32"/>
          <w:szCs w:val="32"/>
        </w:rPr>
        <w:t>落实政府信息公开</w:t>
      </w:r>
      <w:r>
        <w:rPr>
          <w:rFonts w:ascii="FangSong" w:eastAsia="FangSong" w:hAnsi="FangSong" w:cs="FangSong"/>
          <w:sz w:val="32"/>
          <w:szCs w:val="32"/>
        </w:rPr>
        <w:t>保密审查机制，完善主动公开、依申请公开流程，强化制度保障，确保发布信息内容安全、准确。</w:t>
      </w:r>
    </w:p>
    <w:p w:rsidR="00A77B3E">
      <w:pPr>
        <w:spacing w:before="0" w:after="20"/>
        <w:ind w:firstLine="640"/>
      </w:pPr>
      <w:r>
        <w:rPr>
          <w:rFonts w:ascii="SimHei" w:eastAsia="SimHei" w:hAnsi="SimHei" w:cs="SimHei"/>
          <w:sz w:val="32"/>
          <w:szCs w:val="32"/>
        </w:rPr>
        <w:t>二、主动公开政府信息情况</w:t>
      </w:r>
    </w:p>
    <w:tbl>
      <w:tblPr>
        <w:tblStyle w:val="TableNormal0"/>
        <w:tblW w:w="9740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452"/>
        <w:gridCol w:w="2418"/>
        <w:gridCol w:w="2441"/>
        <w:gridCol w:w="2429"/>
      </w:tblGrid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9780" w:type="dxa"/>
            <w:gridSpan w:val="4"/>
            <w:shd w:val="clear" w:color="auto" w:fill="C6D9F1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本年</w:t>
            </w:r>
            <w:r>
              <w:rPr>
                <w:rFonts w:ascii="SimSun" w:eastAsia="SimSun" w:hAnsi="SimSun" w:cs="SimSun"/>
                <w:sz w:val="20"/>
                <w:szCs w:val="20"/>
              </w:rPr>
              <w:t>制发件数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现行有效件</w:t>
            </w:r>
            <w:r>
              <w:rPr>
                <w:rFonts w:ascii="SimSun" w:eastAsia="SimSun" w:hAnsi="SimSun" w:cs="SimSun"/>
                <w:sz w:val="20"/>
                <w:szCs w:val="20"/>
              </w:rPr>
              <w:t>数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t>0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t>0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t>0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9780" w:type="dxa"/>
            <w:gridSpan w:val="4"/>
            <w:shd w:val="clear" w:color="auto" w:fill="C6D9F1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9780" w:type="dxa"/>
            <w:gridSpan w:val="4"/>
            <w:shd w:val="clear" w:color="auto" w:fill="C6D9F1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9780" w:type="dxa"/>
            <w:gridSpan w:val="4"/>
            <w:shd w:val="clear" w:color="auto" w:fill="C6D9F1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W w:w="9740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2475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45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20"/>
              <w:jc w:val="center"/>
            </w:pPr>
            <w:r>
              <w:rPr>
                <w:rFonts w:ascii="SimSun" w:eastAsia="SimSun" w:hAnsi="SimSun" w:cs="SimSun"/>
                <w:sz w:val="24"/>
                <w:szCs w:val="24"/>
              </w:rPr>
              <w:t>0</w:t>
            </w:r>
          </w:p>
        </w:tc>
      </w:tr>
    </w:tbl>
    <w:p w:rsidR="00A77B3E">
      <w:pPr>
        <w:spacing w:before="0" w:after="20"/>
      </w:pPr>
      <w:r>
        <w:rPr>
          <w:rFonts w:ascii="SimHei" w:eastAsia="SimHei" w:hAnsi="SimHei" w:cs="SimHei"/>
          <w:sz w:val="32"/>
          <w:szCs w:val="32"/>
        </w:rPr>
        <w:t>三、收到和处理政府信息公开申请情况</w:t>
      </w:r>
    </w:p>
    <w:tbl>
      <w:tblPr>
        <w:tblStyle w:val="TableNormal0"/>
        <w:tblW w:w="9748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840"/>
        <w:gridCol w:w="1440"/>
        <w:gridCol w:w="7240"/>
        <w:gridCol w:w="640"/>
        <w:gridCol w:w="440"/>
        <w:gridCol w:w="440"/>
        <w:gridCol w:w="1240"/>
        <w:gridCol w:w="1240"/>
        <w:gridCol w:w="440"/>
        <w:gridCol w:w="440"/>
      </w:tblGrid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5190" w:type="dxa"/>
            <w:gridSpan w:val="3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KaiTi" w:eastAsia="KaiTi" w:hAnsi="KaiTi" w:cs="KaiTi"/>
                <w:sz w:val="20"/>
                <w:szCs w:val="20"/>
              </w:rPr>
              <w:t>（本列数据的勾稽关系为：第一项加第二项之和，等于第三项加第四项之和）</w:t>
            </w:r>
          </w:p>
          <w:p w:rsidR="00A77B3E">
            <w:pPr>
              <w:spacing w:before="0" w:after="20"/>
              <w:ind w:left="0" w:right="0"/>
              <w:jc w:val="left"/>
            </w:pPr>
          </w:p>
          <w:p w:rsidR="00A77B3E">
            <w:pPr>
              <w:spacing w:before="0" w:after="20"/>
            </w:pPr>
          </w:p>
        </w:tc>
        <w:tc>
          <w:tcPr>
            <w:tcW w:w="5038" w:type="dxa"/>
            <w:gridSpan w:val="7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申请人情况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自然人</w:t>
            </w:r>
          </w:p>
          <w:p w:rsidR="00A77B3E">
            <w:pPr>
              <w:spacing w:before="0" w:after="20"/>
              <w:ind w:left="0" w:right="0"/>
              <w:jc w:val="left"/>
            </w:pPr>
          </w:p>
        </w:tc>
        <w:tc>
          <w:tcPr>
            <w:tcW w:w="3610" w:type="dxa"/>
            <w:gridSpan w:val="5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法人或其他组织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总计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商业</w:t>
            </w:r>
          </w:p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企业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科研</w:t>
            </w:r>
          </w:p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机构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社会公益组织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法律服务机构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其他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A77B3E"/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5190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5190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825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三、本年度办理结果</w:t>
            </w:r>
          </w:p>
          <w:p w:rsidR="00A77B3E">
            <w:pPr>
              <w:spacing w:before="0" w:after="20"/>
              <w:ind w:left="0" w:right="0"/>
              <w:jc w:val="left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</w:tc>
        <w:tc>
          <w:tcPr>
            <w:tcW w:w="4405" w:type="dxa"/>
            <w:gridSpan w:val="2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（一）予以公开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（二）部分公开</w:t>
            </w:r>
            <w:r>
              <w:rPr>
                <w:rFonts w:ascii="KaiTi" w:eastAsia="KaiTi" w:hAnsi="KaiTi" w:cs="KaiTi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（三）不予公开</w:t>
            </w:r>
          </w:p>
          <w:p w:rsidR="00A77B3E">
            <w:pPr>
              <w:spacing w:before="0" w:after="20"/>
              <w:ind w:left="0" w:right="0"/>
              <w:jc w:val="left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1.属于</w:t>
            </w:r>
            <w:r>
              <w:rPr>
                <w:rStyle w:val="word"/>
                <w:rFonts w:ascii="SimSun" w:eastAsia="SimSun" w:hAnsi="SimSun" w:cs="SimSun"/>
                <w:sz w:val="20"/>
                <w:szCs w:val="20"/>
              </w:rPr>
              <w:t>国家秘密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2.其他法律行政法规禁止公开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3.危及"三安全一稳定"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4.保护第三方合法权益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5.属于三类内部事务信息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6.属于四类过程性信息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7.属于行政执法案卷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8.属于行政查询事项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（四）无法提供</w:t>
            </w:r>
          </w:p>
          <w:p w:rsidR="00A77B3E">
            <w:pPr>
              <w:spacing w:before="0" w:after="20"/>
              <w:ind w:left="0" w:right="0"/>
              <w:jc w:val="left"/>
            </w:pPr>
          </w:p>
          <w:p w:rsidR="00A77B3E">
            <w:pPr>
              <w:spacing w:before="0" w:after="20"/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1.本机关不掌握相关政府信息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2.没有现成信息需要另行制作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3.补正后申请内容仍不明确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（五）不予处理</w:t>
            </w:r>
          </w:p>
          <w:p w:rsidR="00A77B3E">
            <w:pPr>
              <w:spacing w:before="0" w:after="20"/>
              <w:ind w:left="0" w:right="0"/>
              <w:jc w:val="left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  <w:p w:rsidR="00A77B3E">
            <w:pPr>
              <w:spacing w:before="0" w:after="20"/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1.信访举报投诉类申请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2.重复申请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3.要求提供公开出版物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4.无正当理由大量反复申请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</w:pPr>
            <w:r>
              <w:rPr>
                <w:rFonts w:ascii="SimSun" w:eastAsia="SimSun" w:hAnsi="SimSun" w:cs="SimSun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（六）其他处理</w:t>
            </w:r>
          </w:p>
          <w:p w:rsidR="00A77B3E">
            <w:pPr>
              <w:spacing w:before="0" w:after="20"/>
              <w:ind w:left="0" w:right="0"/>
              <w:jc w:val="left"/>
            </w:pPr>
          </w:p>
          <w:p w:rsidR="00A77B3E">
            <w:pPr>
              <w:spacing w:before="0" w:after="20"/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</w:pPr>
            <w:r>
              <w:rPr>
                <w:rFonts w:ascii="SimSun" w:eastAsia="SimSun" w:hAnsi="SimSun" w:cs="SimSun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</w:pPr>
            <w:r>
              <w:rPr>
                <w:rFonts w:ascii="SimSun" w:eastAsia="SimSun" w:hAnsi="SimSun" w:cs="SimSun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3446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3.其他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（七）总计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5190" w:type="dxa"/>
            <w:gridSpan w:val="3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left"/>
            </w:pPr>
            <w:r>
              <w:rPr>
                <w:rFonts w:ascii="SimSun" w:eastAsia="SimSun" w:hAnsi="SimSun" w:cs="SimSun"/>
                <w:sz w:val="20"/>
                <w:szCs w:val="20"/>
              </w:rPr>
              <w:t>四、结转下年度继续办理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77B3E">
      <w:pPr>
        <w:spacing w:before="0" w:after="20"/>
        <w:ind w:firstLine="640"/>
      </w:pPr>
      <w:r>
        <w:rPr>
          <w:rFonts w:ascii="SimHei" w:eastAsia="SimHei" w:hAnsi="SimHei" w:cs="SimHei"/>
          <w:sz w:val="32"/>
          <w:szCs w:val="32"/>
        </w:rPr>
        <w:t>四、政府信息公开行政复议、行政诉讼情况</w:t>
      </w:r>
    </w:p>
    <w:tbl>
      <w:tblPr>
        <w:tblStyle w:val="TableNormal0"/>
        <w:tblW w:w="9748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840"/>
        <w:gridCol w:w="636"/>
        <w:gridCol w:w="636"/>
        <w:gridCol w:w="636"/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3250" w:type="dxa"/>
            <w:gridSpan w:val="5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行政复议</w:t>
            </w:r>
          </w:p>
        </w:tc>
        <w:tc>
          <w:tcPr>
            <w:tcW w:w="6468" w:type="dxa"/>
            <w:gridSpan w:val="10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行政诉讼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682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结果维持</w:t>
            </w:r>
          </w:p>
          <w:p w:rsidR="00A77B3E">
            <w:pPr>
              <w:spacing w:before="0" w:after="20"/>
              <w:ind w:left="0" w:right="0"/>
              <w:jc w:val="left"/>
            </w:pPr>
          </w:p>
        </w:tc>
        <w:tc>
          <w:tcPr>
            <w:tcW w:w="682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纠正</w:t>
            </w:r>
          </w:p>
          <w:p w:rsidR="00A77B3E">
            <w:pPr>
              <w:spacing w:before="0" w:after="20"/>
              <w:ind w:left="0" w:right="0"/>
              <w:jc w:val="left"/>
            </w:pPr>
          </w:p>
        </w:tc>
        <w:tc>
          <w:tcPr>
            <w:tcW w:w="682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其他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</w:p>
          <w:p w:rsidR="00A77B3E">
            <w:pPr>
              <w:spacing w:before="0" w:after="20"/>
              <w:ind w:left="0" w:right="0"/>
              <w:jc w:val="left"/>
            </w:pPr>
          </w:p>
        </w:tc>
        <w:tc>
          <w:tcPr>
            <w:tcW w:w="682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尚未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审结</w:t>
            </w:r>
          </w:p>
          <w:p w:rsidR="00A77B3E">
            <w:pPr>
              <w:spacing w:before="0" w:after="20"/>
              <w:ind w:left="0" w:right="0"/>
              <w:jc w:val="left"/>
            </w:pPr>
          </w:p>
        </w:tc>
        <w:tc>
          <w:tcPr>
            <w:tcW w:w="682" w:type="dxa"/>
            <w:vMerge w:val="restart"/>
            <w:tcBorders>
              <w:bottom w:val="none" w:sz="0" w:space="0" w:color="auto"/>
            </w:tcBorders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总计</w:t>
            </w:r>
          </w:p>
          <w:p w:rsidR="00A77B3E">
            <w:pPr>
              <w:spacing w:before="0" w:after="20"/>
              <w:ind w:left="0" w:right="0"/>
              <w:jc w:val="left"/>
            </w:pPr>
          </w:p>
        </w:tc>
        <w:tc>
          <w:tcPr>
            <w:tcW w:w="3253" w:type="dxa"/>
            <w:gridSpan w:val="5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复议后起诉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vMerge/>
            <w:vAlign w:val="center"/>
            <w:hideMark/>
          </w:tcPr>
          <w:p w:rsidR="00A77B3E">
            <w:pPr>
              <w:rPr>
                <w:rFonts w:ascii="SimSun" w:eastAsia="SimSun" w:hAnsi="SimSun" w:cs="SimSun"/>
                <w:sz w:val="20"/>
                <w:szCs w:val="20"/>
              </w:rPr>
            </w:pP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维持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纠正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其他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尚未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审结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维持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结果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纠正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其他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sz w:val="20"/>
                <w:szCs w:val="20"/>
              </w:rPr>
              <w:t>尚未</w:t>
            </w:r>
            <w:r>
              <w:rPr>
                <w:rFonts w:ascii="SimSun" w:eastAsia="SimSun" w:hAnsi="SimSun" w:cs="SimSun"/>
                <w:sz w:val="20"/>
                <w:szCs w:val="20"/>
              </w:rPr>
              <w:br/>
            </w:r>
            <w:r>
              <w:rPr>
                <w:rFonts w:ascii="SimSun" w:eastAsia="SimSun" w:hAnsi="SimSun" w:cs="SimSun"/>
                <w:sz w:val="20"/>
                <w:szCs w:val="20"/>
              </w:rPr>
              <w:t>审结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W w:w="9748" w:type="dxa"/>
          <w:tblInd w:w="2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noWrap w:val="0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A77B3E">
            <w:pPr>
              <w:spacing w:before="0" w:after="0"/>
              <w:ind w:left="0" w:right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77B3E">
      <w:pPr>
        <w:spacing w:before="0" w:after="20"/>
        <w:ind w:firstLine="640"/>
      </w:pPr>
      <w:r>
        <w:rPr>
          <w:rFonts w:ascii="SimHei" w:eastAsia="SimHei" w:hAnsi="SimHei" w:cs="SimHei"/>
          <w:sz w:val="32"/>
          <w:szCs w:val="32"/>
        </w:rPr>
        <w:t>五、存在的主要问题及改进情况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sz w:val="32"/>
          <w:szCs w:val="32"/>
        </w:rPr>
        <w:t>202</w:t>
      </w:r>
      <w:r>
        <w:rPr>
          <w:rFonts w:ascii="FangSong" w:eastAsia="FangSong" w:hAnsi="FangSong" w:cs="FangSong"/>
          <w:sz w:val="32"/>
          <w:szCs w:val="32"/>
        </w:rPr>
        <w:t>4</w:t>
      </w:r>
      <w:r>
        <w:rPr>
          <w:rFonts w:ascii="FangSong" w:eastAsia="FangSong" w:hAnsi="FangSong" w:cs="FangSong"/>
          <w:sz w:val="32"/>
          <w:szCs w:val="32"/>
        </w:rPr>
        <w:t>年，我局的政府信息公开工作有了较大的进步，但与公众的需求还存在差距，主要问题表现在：</w:t>
      </w:r>
      <w:r>
        <w:rPr>
          <w:rFonts w:ascii="FangSong" w:eastAsia="FangSong" w:hAnsi="FangSong" w:cs="FangSong"/>
          <w:sz w:val="32"/>
          <w:szCs w:val="32"/>
        </w:rPr>
        <w:t>工作人员的政府信息公开能力有待提升</w:t>
      </w:r>
      <w:r>
        <w:rPr>
          <w:rFonts w:ascii="FangSong" w:eastAsia="FangSong" w:hAnsi="FangSong" w:cs="FangSong"/>
          <w:sz w:val="32"/>
          <w:szCs w:val="32"/>
        </w:rPr>
        <w:t>、</w:t>
      </w:r>
      <w:r>
        <w:rPr>
          <w:rFonts w:ascii="FangSong" w:eastAsia="FangSong" w:hAnsi="FangSong" w:cs="FangSong"/>
          <w:sz w:val="32"/>
          <w:szCs w:val="32"/>
        </w:rPr>
        <w:t>信息发布和更新的频率有待提高，</w:t>
      </w:r>
      <w:r>
        <w:rPr>
          <w:rFonts w:ascii="FangSong" w:eastAsia="FangSong" w:hAnsi="FangSong" w:cs="FangSong"/>
          <w:sz w:val="32"/>
          <w:szCs w:val="32"/>
        </w:rPr>
        <w:t>结合工作中存在的问题和不足，202</w:t>
      </w:r>
      <w:r>
        <w:rPr>
          <w:rFonts w:ascii="FangSong" w:eastAsia="FangSong" w:hAnsi="FangSong" w:cs="FangSong"/>
          <w:sz w:val="32"/>
          <w:szCs w:val="32"/>
        </w:rPr>
        <w:t>5</w:t>
      </w:r>
      <w:r>
        <w:rPr>
          <w:rFonts w:ascii="FangSong" w:eastAsia="FangSong" w:hAnsi="FangSong" w:cs="FangSong"/>
          <w:sz w:val="32"/>
          <w:szCs w:val="32"/>
        </w:rPr>
        <w:t>年</w:t>
      </w:r>
      <w:r>
        <w:rPr>
          <w:rFonts w:ascii="FangSong" w:eastAsia="FangSong" w:hAnsi="FangSong" w:cs="FangSong"/>
          <w:sz w:val="32"/>
          <w:szCs w:val="32"/>
        </w:rPr>
        <w:t>我们将采取更加有效措施积极改进信息公开工作</w:t>
      </w:r>
      <w:r>
        <w:rPr>
          <w:rFonts w:ascii="FangSong" w:eastAsia="FangSong" w:hAnsi="FangSong" w:cs="FangSong"/>
          <w:sz w:val="32"/>
          <w:szCs w:val="32"/>
        </w:rPr>
        <w:t xml:space="preserve">： </w:t>
      </w:r>
      <w:r>
        <w:rPr>
          <w:rFonts w:ascii="Calibri" w:eastAsia="Calibri" w:hAnsi="Calibri" w:cs="Calibri"/>
          <w:sz w:val="32"/>
          <w:szCs w:val="32"/>
        </w:rPr>
        <w:t> </w:t>
      </w:r>
    </w:p>
    <w:p w:rsidR="00A77B3E">
      <w:pPr>
        <w:spacing w:before="0" w:after="20"/>
        <w:ind w:firstLine="640"/>
      </w:pPr>
      <w:r>
        <w:rPr>
          <w:rFonts w:ascii="KaiTi" w:eastAsia="KaiTi" w:hAnsi="KaiTi" w:cs="KaiTi"/>
          <w:sz w:val="32"/>
          <w:szCs w:val="32"/>
        </w:rPr>
        <w:t>（一）</w:t>
      </w:r>
      <w:r>
        <w:rPr>
          <w:rFonts w:ascii="KaiTi" w:eastAsia="KaiTi" w:hAnsi="KaiTi" w:cs="KaiTi"/>
          <w:sz w:val="32"/>
          <w:szCs w:val="32"/>
        </w:rPr>
        <w:t>强化业务</w:t>
      </w:r>
      <w:r>
        <w:rPr>
          <w:rFonts w:ascii="KaiTi" w:eastAsia="KaiTi" w:hAnsi="KaiTi" w:cs="KaiTi"/>
          <w:sz w:val="32"/>
          <w:szCs w:val="32"/>
        </w:rPr>
        <w:t>学习</w:t>
      </w:r>
      <w:r>
        <w:rPr>
          <w:rFonts w:ascii="KaiTi" w:eastAsia="KaiTi" w:hAnsi="KaiTi" w:cs="KaiTi"/>
          <w:sz w:val="32"/>
          <w:szCs w:val="32"/>
        </w:rPr>
        <w:t>。</w:t>
      </w:r>
      <w:r>
        <w:rPr>
          <w:rFonts w:ascii="FangSong" w:eastAsia="FangSong" w:hAnsi="FangSong" w:cs="FangSong"/>
          <w:sz w:val="32"/>
          <w:szCs w:val="32"/>
        </w:rPr>
        <w:t>进一步</w:t>
      </w:r>
      <w:r>
        <w:rPr>
          <w:rFonts w:ascii="FangSong" w:eastAsia="FangSong" w:hAnsi="FangSong" w:cs="FangSong"/>
          <w:sz w:val="32"/>
          <w:szCs w:val="32"/>
        </w:rPr>
        <w:t>加强与相关部门</w:t>
      </w:r>
      <w:r>
        <w:rPr>
          <w:rFonts w:ascii="FangSong" w:eastAsia="FangSong" w:hAnsi="FangSong" w:cs="FangSong"/>
          <w:sz w:val="32"/>
          <w:szCs w:val="32"/>
        </w:rPr>
        <w:t>对接交流</w:t>
      </w:r>
      <w:r>
        <w:rPr>
          <w:rFonts w:ascii="FangSong" w:eastAsia="FangSong" w:hAnsi="FangSong" w:cs="FangSong"/>
          <w:sz w:val="32"/>
          <w:szCs w:val="32"/>
        </w:rPr>
        <w:t>，</w:t>
      </w:r>
      <w:r>
        <w:rPr>
          <w:rFonts w:ascii="FangSong" w:eastAsia="FangSong" w:hAnsi="FangSong" w:cs="FangSong"/>
          <w:sz w:val="32"/>
          <w:szCs w:val="32"/>
        </w:rPr>
        <w:t>做好政务公开工作业务培训，提升业务能力水平，切实增强工作的责任感、使命感。</w:t>
      </w:r>
    </w:p>
    <w:p w:rsidR="00A77B3E">
      <w:pPr>
        <w:spacing w:before="0" w:after="20"/>
        <w:ind w:firstLine="640"/>
      </w:pPr>
      <w:r>
        <w:rPr>
          <w:rFonts w:ascii="KaiTi" w:eastAsia="KaiTi" w:hAnsi="KaiTi" w:cs="KaiTi"/>
          <w:sz w:val="32"/>
          <w:szCs w:val="32"/>
        </w:rPr>
        <w:t>（</w:t>
      </w:r>
      <w:r>
        <w:rPr>
          <w:rFonts w:ascii="KaiTi" w:eastAsia="KaiTi" w:hAnsi="KaiTi" w:cs="KaiTi"/>
          <w:sz w:val="32"/>
          <w:szCs w:val="32"/>
        </w:rPr>
        <w:t>二</w:t>
      </w:r>
      <w:r>
        <w:rPr>
          <w:rFonts w:ascii="KaiTi" w:eastAsia="KaiTi" w:hAnsi="KaiTi" w:cs="KaiTi"/>
          <w:sz w:val="32"/>
          <w:szCs w:val="32"/>
        </w:rPr>
        <w:t>）</w:t>
      </w:r>
      <w:r>
        <w:rPr>
          <w:rFonts w:ascii="KaiTi" w:eastAsia="KaiTi" w:hAnsi="KaiTi" w:cs="KaiTi"/>
          <w:sz w:val="32"/>
          <w:szCs w:val="32"/>
        </w:rPr>
        <w:t>狠抓工作落实</w:t>
      </w:r>
      <w:r>
        <w:rPr>
          <w:rFonts w:ascii="KaiTi" w:eastAsia="KaiTi" w:hAnsi="KaiTi" w:cs="KaiTi"/>
          <w:sz w:val="32"/>
          <w:szCs w:val="32"/>
        </w:rPr>
        <w:t>。</w:t>
      </w:r>
      <w:r>
        <w:rPr>
          <w:rFonts w:ascii="FangSong" w:eastAsia="FangSong" w:hAnsi="FangSong" w:cs="FangSong"/>
          <w:sz w:val="32"/>
          <w:szCs w:val="32"/>
        </w:rPr>
        <w:t>严格按照相关规定，</w:t>
      </w:r>
      <w:r>
        <w:rPr>
          <w:rFonts w:ascii="FangSong" w:eastAsia="FangSong" w:hAnsi="FangSong" w:cs="FangSong"/>
          <w:sz w:val="32"/>
          <w:szCs w:val="32"/>
        </w:rPr>
        <w:t>认真做好信息公开的日常维护工作，</w:t>
      </w:r>
      <w:r>
        <w:rPr>
          <w:rFonts w:ascii="FangSong" w:eastAsia="FangSong" w:hAnsi="FangSong" w:cs="FangSong"/>
          <w:sz w:val="32"/>
          <w:szCs w:val="32"/>
        </w:rPr>
        <w:t>做到更新及时，内容充实</w:t>
      </w:r>
      <w:r>
        <w:rPr>
          <w:rFonts w:ascii="FangSong" w:eastAsia="FangSong" w:hAnsi="FangSong" w:cs="FangSong"/>
          <w:sz w:val="32"/>
          <w:szCs w:val="32"/>
        </w:rPr>
        <w:t>，确保</w:t>
      </w:r>
      <w:r>
        <w:rPr>
          <w:rFonts w:ascii="FangSong" w:eastAsia="FangSong" w:hAnsi="FangSong" w:cs="FangSong"/>
          <w:sz w:val="32"/>
          <w:szCs w:val="32"/>
        </w:rPr>
        <w:t>政府信息</w:t>
      </w:r>
      <w:r>
        <w:rPr>
          <w:rFonts w:ascii="FangSong" w:eastAsia="FangSong" w:hAnsi="FangSong" w:cs="FangSong"/>
          <w:sz w:val="32"/>
          <w:szCs w:val="32"/>
        </w:rPr>
        <w:t>公开</w:t>
      </w:r>
      <w:r>
        <w:rPr>
          <w:rFonts w:ascii="FangSong" w:eastAsia="FangSong" w:hAnsi="FangSong" w:cs="FangSong"/>
          <w:sz w:val="32"/>
          <w:szCs w:val="32"/>
        </w:rPr>
        <w:t>工作全面高效运转</w:t>
      </w:r>
      <w:r>
        <w:rPr>
          <w:rFonts w:ascii="FangSong" w:eastAsia="FangSong" w:hAnsi="FangSong" w:cs="FangSong"/>
          <w:sz w:val="32"/>
          <w:szCs w:val="32"/>
        </w:rPr>
        <w:t>。</w:t>
      </w:r>
      <w:r>
        <w:rPr>
          <w:rFonts w:ascii="Calibri" w:eastAsia="Calibri" w:hAnsi="Calibri" w:cs="Calibri"/>
          <w:sz w:val="32"/>
          <w:szCs w:val="32"/>
        </w:rPr>
        <w:t> </w:t>
      </w:r>
    </w:p>
    <w:p w:rsidR="00A77B3E">
      <w:pPr>
        <w:spacing w:before="0" w:after="20"/>
        <w:ind w:firstLine="640"/>
      </w:pPr>
      <w:r>
        <w:rPr>
          <w:rFonts w:ascii="SimHei" w:eastAsia="SimHei" w:hAnsi="SimHei" w:cs="SimHei"/>
          <w:sz w:val="32"/>
          <w:szCs w:val="32"/>
        </w:rPr>
        <w:t>六、其他需要报告的事项</w:t>
      </w:r>
    </w:p>
    <w:p w:rsidR="00A77B3E">
      <w:pPr>
        <w:spacing w:before="0" w:after="20"/>
        <w:ind w:firstLine="640"/>
      </w:pPr>
      <w:r>
        <w:rPr>
          <w:rFonts w:ascii="FangSong" w:eastAsia="FangSong" w:hAnsi="FangSong" w:cs="FangSong"/>
          <w:sz w:val="32"/>
          <w:szCs w:val="32"/>
        </w:rPr>
        <w:t>无</w:t>
      </w:r>
    </w:p>
    <w:p w:rsidR="00A77B3E">
      <w:pPr>
        <w:spacing w:before="0" w:after="20"/>
        <w:ind w:right="1260" w:firstLine="640"/>
        <w:jc w:val="right"/>
      </w:pPr>
    </w:p>
    <w:p w:rsidR="00A77B3E">
      <w:pPr>
        <w:spacing w:before="0" w:after="20"/>
        <w:ind w:right="1260" w:firstLine="640"/>
        <w:jc w:val="right"/>
      </w:pPr>
    </w:p>
    <w:p w:rsidR="00A77B3E">
      <w:pPr>
        <w:spacing w:before="0" w:after="20"/>
        <w:ind w:right="1260" w:firstLine="640"/>
        <w:jc w:val="right"/>
      </w:pPr>
      <w:r>
        <w:rPr>
          <w:rFonts w:ascii="FangSong" w:eastAsia="FangSong" w:hAnsi="FangSong" w:cs="FangSong"/>
          <w:color w:val="000000"/>
          <w:sz w:val="32"/>
          <w:szCs w:val="32"/>
        </w:rPr>
        <w:t>定襄县能源局</w:t>
      </w:r>
    </w:p>
    <w:p w:rsidR="00A77B3E">
      <w:pPr>
        <w:spacing w:before="0" w:after="20"/>
        <w:ind w:right="1050" w:firstLine="640"/>
        <w:jc w:val="right"/>
      </w:pPr>
      <w:r>
        <w:rPr>
          <w:rFonts w:ascii="FangSong" w:eastAsia="FangSong" w:hAnsi="FangSong" w:cs="FangSong"/>
          <w:color w:val="000000"/>
          <w:sz w:val="32"/>
          <w:szCs w:val="32"/>
        </w:rPr>
        <w:t>2025年1月20日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ata-span-error0">
    <w:name w:val="data-span-error0"/>
    <w:basedOn w:val="DefaultParagraphFont"/>
  </w:style>
  <w:style w:type="table" w:customStyle="1" w:styleId="TableNormal0">
    <w:name w:val="TableNormal"/>
    <w:basedOn w:val="TableNormal"/>
    <w:tblPr/>
  </w:style>
  <w:style w:type="character" w:customStyle="1" w:styleId="errorwordsensitivemgcdata-span-mgc0ignoreword">
    <w:name w:val="errorword sensitive mgc data-span-mgc0 ignoreword"/>
    <w:basedOn w:val="DefaultParagraphFont"/>
  </w:style>
  <w:style w:type="character" w:customStyle="1" w:styleId="word">
    <w:name w:val="word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