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jc w:val="center"/>
      </w:pPr>
      <w:r>
        <w:rPr>
          <w:rFonts w:ascii="方正小标宋简体" w:eastAsia="方正小标宋简体" w:cs="方正小标宋简体"/>
          <w:color w:val="000000"/>
          <w:sz w:val="44"/>
          <w:szCs w:val="44"/>
        </w:rPr>
        <w:t>蒋村镇人民政府</w:t>
      </w:r>
    </w:p>
    <w:p>
      <w:pPr>
        <w:spacing w:before="0" w:after="0"/>
        <w:jc w:val="center"/>
      </w:pPr>
      <w:r>
        <w:rPr>
          <w:rFonts w:ascii="方正小标宋简体" w:eastAsia="方正小标宋简体" w:cs="方正小标宋简体"/>
          <w:color w:val="000000"/>
          <w:sz w:val="44"/>
          <w:szCs w:val="44"/>
        </w:rPr>
        <w:t>2024年政府信息公开工作年度报告</w:t>
      </w:r>
    </w:p>
    <w:p>
      <w:pPr>
        <w:spacing w:before="0" w:after="20"/>
      </w:pPr>
    </w:p>
    <w:p>
      <w:pPr>
        <w:shd w:val="clear" w:color="auto" w:fill="FFFFFF"/>
        <w:spacing w:before="0" w:after="0"/>
        <w:ind w:firstLine="640"/>
        <w:jc w:val="left"/>
      </w:pPr>
      <w:r>
        <w:rPr>
          <w:rFonts w:ascii="SimHei" w:eastAsia="SimHei" w:cs="SimHei"/>
          <w:color w:val="333333"/>
          <w:sz w:val="32"/>
          <w:szCs w:val="32"/>
        </w:rPr>
        <w:t>一、总体情况</w:t>
      </w:r>
    </w:p>
    <w:p>
      <w:pPr>
        <w:shd w:val="clear" w:color="auto" w:fill="FFFFFF"/>
        <w:spacing w:before="0" w:after="0"/>
        <w:ind w:firstLine="640"/>
        <w:jc w:val="left"/>
      </w:pPr>
      <w:r>
        <w:rPr>
          <w:rFonts w:ascii="FangSong" w:eastAsia="FangSong" w:cs="FangSong" w:hAnsi="FangSong"/>
          <w:sz w:val="32"/>
          <w:szCs w:val="32"/>
        </w:rPr>
        <w:t>2024年，蒋村镇认真贯彻落实《中华人民共和国政府信息公开条例》，依照省、市、县对基层政务公开工作的指导方针，认真围绕我镇重点工作和年度目标任务，进一步深化思想认识，明确工作职责，具体化公开标准，探索创新公开形式，确保各类政府信息能及时、主动向公众公开，较好完成了有关政府信息透明化的各项工作任务。</w:t>
      </w:r>
    </w:p>
    <w:p>
      <w:pPr>
        <w:shd w:val="clear" w:color="auto" w:fill="FFFFFF"/>
        <w:spacing w:before="0" w:after="0"/>
        <w:ind w:firstLine="640"/>
        <w:jc w:val="left"/>
      </w:pPr>
      <w:r>
        <w:rPr>
          <w:rFonts w:ascii="KaiTi" w:eastAsia="KaiTi" w:cs="KaiTi"/>
          <w:b/>
          <w:bCs/>
          <w:color w:val="333333"/>
          <w:sz w:val="32"/>
          <w:szCs w:val="32"/>
        </w:rPr>
        <w:t>（一）政府信息管理方面。</w:t>
      </w:r>
      <w:r>
        <w:rPr>
          <w:rFonts w:ascii="FangSong" w:eastAsia="FangSong" w:cs="FangSong" w:hAnsi="FangSong"/>
          <w:sz w:val="32"/>
          <w:szCs w:val="32"/>
        </w:rPr>
        <w:t>为保证政务公开工作的规范有序开展,我镇高度重视,不断加强组织领导,完善目标责任体系,并着力强化制度建设。一是落实保密审查、"三审三校"和备案制度，遵循 "谁公开谁审查""谁审查谁负责"和"先审查后公开"的原则，确保发布的信息内容合法、完整、准确。 二是严格按照主动公开、依申请公开、不予公开的政府信息分类要求,精心编制信息公开目录。三是认真做好错敏字整改问题。定期开展历史稿件错敏排查，按时按质做好问题整改和反馈，确保政务公开网站高质量运行。</w:t>
      </w:r>
    </w:p>
    <w:p>
      <w:pPr>
        <w:shd w:val="clear" w:color="auto" w:fill="FFFFFF"/>
        <w:spacing w:before="0" w:after="0"/>
        <w:ind w:firstLine="640"/>
        <w:jc w:val="left"/>
      </w:pPr>
      <w:r>
        <w:rPr>
          <w:rFonts w:ascii="KaiTi" w:eastAsia="KaiTi" w:cs="KaiTi"/>
          <w:b/>
          <w:bCs/>
          <w:color w:val="333333"/>
          <w:sz w:val="32"/>
          <w:szCs w:val="32"/>
        </w:rPr>
        <w:t>（二）政府信息公开平台建设方面。</w:t>
      </w:r>
      <w:r>
        <w:rPr>
          <w:rFonts w:ascii="FangSong" w:eastAsia="FangSong" w:cs="FangSong" w:hAnsi="FangSong"/>
          <w:sz w:val="32"/>
          <w:szCs w:val="32"/>
        </w:rPr>
        <w:t>2024年以来，结合我镇实际情况,我们进一步完善了政府信息公开工作制度,对政府信息公开工作的职责分工及具体任务进行了更为明确和细致的划分。对于社会影响广泛、有必要公开的文件,我们做到了及时发布,进一步加大了主动公开的力度;对于拟公开的信息,蒋村镇严格进行了保密审查,确保信息安全。此外，我镇严格落实网络意识形态责任制和网络安全责任制，持续加强政府信息公开平台安全防护工作，防范各类网络安全事故发生。经核查，我镇不存在政务新媒体僵尸号以及涉及安全、涉密等严重问题或内容不更新、互动回应差等情况。</w:t>
      </w:r>
    </w:p>
    <w:p>
      <w:pPr>
        <w:shd w:val="clear" w:color="auto" w:fill="FFFFFF"/>
        <w:spacing w:before="0" w:after="0"/>
        <w:ind w:firstLine="640"/>
        <w:jc w:val="left"/>
      </w:pPr>
      <w:r>
        <w:rPr>
          <w:rFonts w:ascii="KaiTi" w:eastAsia="KaiTi" w:cs="KaiTi"/>
          <w:b/>
          <w:bCs/>
          <w:color w:val="333333"/>
          <w:sz w:val="32"/>
          <w:szCs w:val="32"/>
        </w:rPr>
        <w:t>（三）监督保障方面。</w:t>
      </w:r>
      <w:r>
        <w:rPr>
          <w:rFonts w:ascii="FangSong" w:eastAsia="FangSong" w:cs="FangSong" w:hAnsi="FangSong"/>
          <w:sz w:val="32"/>
          <w:szCs w:val="32"/>
        </w:rPr>
        <w:t>一是加强组织领导。及时调整政府信息公开工作领导小组,狠抓职责任务落实，定期召开政务公开工作会议，专题研究部署镇政务公开工作。二是制度建设，修订完善信息公开工作制度,完善政府信息公开年度重点工作、任务分工方案、考评方案,夯实政府信息公开工作制度基础。三是加强监督。强化责任意识,坚持与业务工作同部署、同检查、同考核,主动公开咨询、监督投诉电话,自觉接受有关部门监督检查和社会评议。</w:t>
      </w:r>
    </w:p>
    <w:p>
      <w:pPr>
        <w:shd w:val="clear" w:color="auto" w:fill="FFFFFF"/>
        <w:spacing w:before="0" w:after="0"/>
        <w:ind w:firstLine="640"/>
        <w:jc w:val="left"/>
      </w:pPr>
      <w:r>
        <w:rPr>
          <w:rFonts w:ascii="SimHei" w:eastAsia="SimHei" w:cs="SimHei"/>
          <w:color w:val="333333"/>
          <w:sz w:val="32"/>
          <w:szCs w:val="32"/>
        </w:rPr>
        <w:t>二、主动公开政府信息情况</w:t>
      </w:r>
    </w:p>
    <w:tbl>
      <w:tblPr>
        <w:jc w:val="left"/>
        <w:tblInd w:w="20" w:type="dxa"/>
        <w:tblW w:w="9740"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475"/>
        <w:gridCol w:w="2475"/>
        <w:gridCol w:w="2475"/>
        <w:gridCol w:w="2475"/>
      </w:tblGrid>
      <w:tr>
        <w:tc>
          <w:tcPr>
            <w:tcW w:w="9780" w:type="dxa"/>
            <w:gridSpan w:val="4"/>
            <w:shd w:val="clear" w:color="auto" w:fill="C6D9F1"/>
            <w:noWrap/>
            <w:tcMar>
              <w:left w:w="20" w:type="dxa"/>
              <w:right w:w="20" w:type="dxa"/>
            </w:tcMar>
            <w:vAlign w:val="center"/>
          </w:tcPr>
          <w:p>
            <w:pPr>
              <w:spacing w:before="0" w:after="20"/>
              <w:jc w:val="center"/>
            </w:pPr>
            <w:r>
              <w:rPr>
                <w:rFonts w:ascii="SimSun" w:eastAsia="SimSun" w:cs="SimSun"/>
                <w:color w:val="000000"/>
                <w:sz w:val="20"/>
                <w:szCs w:val="20"/>
              </w:rPr>
              <w:t>第二十条第（一）项</w:t>
            </w:r>
          </w:p>
        </w:tc>
      </w:tr>
      <w:tr>
        <w:tc>
          <w:tcPr>
            <w:tcW w:w="2475" w:type="dxa"/>
            <w:noWrap/>
            <w:tcMar>
              <w:left w:w="20" w:type="dxa"/>
              <w:right w:w="20" w:type="dxa"/>
            </w:tcMar>
            <w:vAlign w:val="center"/>
          </w:tcPr>
          <w:p>
            <w:pPr>
              <w:spacing w:before="0" w:after="20"/>
              <w:jc w:val="center"/>
            </w:pPr>
            <w:r>
              <w:rPr>
                <w:rFonts w:ascii="SimSun" w:eastAsia="SimSun" w:cs="SimSun"/>
                <w:color w:val="000000"/>
                <w:sz w:val="20"/>
                <w:szCs w:val="20"/>
              </w:rPr>
              <w:t>信息内容</w:t>
            </w:r>
          </w:p>
        </w:tc>
        <w:tc>
          <w:tcPr>
            <w:tcW w:w="2475" w:type="dxa"/>
            <w:noWrap/>
            <w:tcMar>
              <w:left w:w="20" w:type="dxa"/>
              <w:right w:w="20" w:type="dxa"/>
            </w:tcMar>
            <w:vAlign w:val="center"/>
          </w:tcPr>
          <w:p>
            <w:pPr>
              <w:spacing w:before="0" w:after="20"/>
              <w:jc w:val="center"/>
            </w:pPr>
            <w:r>
              <w:rPr>
                <w:rFonts w:ascii="SimSun" w:eastAsia="SimSun" w:cs="SimSun"/>
                <w:color w:val="000000"/>
                <w:sz w:val="20"/>
                <w:szCs w:val="20"/>
              </w:rPr>
              <w:t>本年</w:t>
            </w:r>
            <w:r>
              <w:rPr>
                <w:rFonts w:ascii="SimSun" w:eastAsia="SimSun" w:cs="SimSun"/>
                <w:sz w:val="20"/>
                <w:szCs w:val="20"/>
              </w:rPr>
              <w:t>制发件数</w:t>
            </w:r>
          </w:p>
        </w:tc>
        <w:tc>
          <w:tcPr>
            <w:tcW w:w="2475" w:type="dxa"/>
            <w:noWrap/>
            <w:tcMar>
              <w:left w:w="20" w:type="dxa"/>
              <w:right w:w="20" w:type="dxa"/>
            </w:tcMar>
            <w:vAlign w:val="center"/>
          </w:tcPr>
          <w:p>
            <w:pPr>
              <w:spacing w:before="0" w:after="20"/>
              <w:jc w:val="center"/>
            </w:pPr>
            <w:r>
              <w:rPr>
                <w:rFonts w:ascii="SimSun" w:eastAsia="SimSun" w:cs="SimSun"/>
                <w:color w:val="000000"/>
                <w:sz w:val="20"/>
                <w:szCs w:val="20"/>
              </w:rPr>
              <w:t>本年废止件数</w:t>
            </w:r>
          </w:p>
        </w:tc>
        <w:tc>
          <w:tcPr>
            <w:tcW w:w="2475" w:type="dxa"/>
            <w:noWrap/>
            <w:tcMar>
              <w:left w:w="20" w:type="dxa"/>
              <w:right w:w="20" w:type="dxa"/>
            </w:tcMar>
            <w:vAlign w:val="center"/>
          </w:tcPr>
          <w:p>
            <w:pPr>
              <w:spacing w:before="0" w:after="20"/>
              <w:jc w:val="center"/>
            </w:pPr>
            <w:r>
              <w:rPr>
                <w:rFonts w:ascii="SimSun" w:eastAsia="SimSun" w:cs="SimSun"/>
                <w:color w:val="000000"/>
                <w:sz w:val="20"/>
                <w:szCs w:val="20"/>
              </w:rPr>
              <w:t>现行有效件</w:t>
            </w:r>
            <w:r>
              <w:rPr>
                <w:rFonts w:ascii="SimSun" w:eastAsia="SimSun" w:cs="SimSun"/>
                <w:sz w:val="20"/>
                <w:szCs w:val="20"/>
              </w:rPr>
              <w:t>数</w:t>
            </w:r>
          </w:p>
        </w:tc>
      </w:tr>
      <w:tr>
        <w:tc>
          <w:tcPr>
            <w:tcW w:w="2475" w:type="dxa"/>
            <w:noWrap/>
            <w:tcMar>
              <w:left w:w="20" w:type="dxa"/>
              <w:right w:w="20" w:type="dxa"/>
            </w:tcMar>
            <w:vAlign w:val="center"/>
          </w:tcPr>
          <w:p>
            <w:pPr>
              <w:spacing w:before="0" w:after="20"/>
              <w:jc w:val="left"/>
            </w:pPr>
            <w:r>
              <w:rPr>
                <w:rFonts w:ascii="SimSun" w:eastAsia="SimSun" w:cs="SimSun"/>
                <w:color w:val="000000"/>
                <w:sz w:val="20"/>
                <w:szCs w:val="20"/>
              </w:rPr>
              <w:t>规章</w:t>
            </w:r>
          </w:p>
        </w:tc>
        <w:tc>
          <w:tcPr>
            <w:tcW w:w="2475"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c>
          <w:tcPr>
            <w:tcW w:w="2475"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c>
          <w:tcPr>
            <w:tcW w:w="2475" w:type="dxa"/>
            <w:noWrap/>
            <w:tcMar>
              <w:left w:w="20" w:type="dxa"/>
              <w:right w:w="20" w:type="dxa"/>
            </w:tcMar>
            <w:vAlign w:val="center"/>
          </w:tcPr>
          <w:p>
            <w:pPr>
              <w:spacing w:before="0" w:after="20"/>
              <w:jc w:val="center"/>
            </w:pPr>
            <w:r>
              <w:rPr>
                <w:rFonts w:ascii="Calibri" w:eastAsia="Calibri" w:cs="Calibri" w:hAnsi="Calibri"/>
                <w:sz w:val="20"/>
                <w:szCs w:val="20"/>
              </w:rPr>
              <w:t>0</w:t>
            </w:r>
          </w:p>
        </w:tc>
      </w:tr>
      <w:tr>
        <w:tc>
          <w:tcPr>
            <w:tcW w:w="2475" w:type="dxa"/>
            <w:noWrap/>
            <w:tcMar>
              <w:left w:w="20" w:type="dxa"/>
              <w:right w:w="20" w:type="dxa"/>
            </w:tcMar>
            <w:vAlign w:val="center"/>
          </w:tcPr>
          <w:p>
            <w:pPr>
              <w:spacing w:before="0" w:after="20"/>
              <w:jc w:val="left"/>
            </w:pPr>
            <w:r>
              <w:rPr>
                <w:rFonts w:ascii="SimSun" w:eastAsia="SimSun" w:cs="SimSun"/>
                <w:color w:val="000000"/>
                <w:sz w:val="20"/>
                <w:szCs w:val="20"/>
              </w:rPr>
              <w:t>行政规范性文件</w:t>
            </w:r>
          </w:p>
        </w:tc>
        <w:tc>
          <w:tcPr>
            <w:tcW w:w="2475"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c>
          <w:tcPr>
            <w:tcW w:w="2475"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c>
          <w:tcPr>
            <w:tcW w:w="2475" w:type="dxa"/>
            <w:noWrap/>
            <w:tcMar>
              <w:left w:w="20" w:type="dxa"/>
              <w:right w:w="20" w:type="dxa"/>
            </w:tcMar>
            <w:vAlign w:val="center"/>
          </w:tcPr>
          <w:p>
            <w:pPr>
              <w:spacing w:before="0" w:after="20"/>
              <w:jc w:val="center"/>
            </w:pPr>
            <w:r>
              <w:rPr>
                <w:rFonts w:ascii="Calibri" w:eastAsia="Calibri" w:cs="Calibri" w:hAnsi="Calibri"/>
                <w:sz w:val="20"/>
                <w:szCs w:val="20"/>
              </w:rPr>
              <w:t>0</w:t>
            </w:r>
          </w:p>
        </w:tc>
      </w:tr>
      <w:tr>
        <w:tc>
          <w:tcPr>
            <w:tcW w:w="9780" w:type="dxa"/>
            <w:gridSpan w:val="4"/>
            <w:shd w:val="clear" w:color="auto" w:fill="C6D9F1"/>
            <w:noWrap/>
            <w:tcMar>
              <w:left w:w="20" w:type="dxa"/>
              <w:right w:w="20" w:type="dxa"/>
            </w:tcMar>
            <w:vAlign w:val="center"/>
          </w:tcPr>
          <w:p>
            <w:pPr>
              <w:spacing w:before="0" w:after="20"/>
              <w:jc w:val="center"/>
            </w:pPr>
            <w:r>
              <w:rPr>
                <w:rFonts w:ascii="SimSun" w:eastAsia="SimSun" w:cs="SimSun"/>
                <w:color w:val="000000"/>
                <w:sz w:val="20"/>
                <w:szCs w:val="20"/>
              </w:rPr>
              <w:t>第二十条第（五）项</w:t>
            </w:r>
          </w:p>
        </w:tc>
      </w:tr>
      <w:tr>
        <w:tc>
          <w:tcPr>
            <w:tcW w:w="2475" w:type="dxa"/>
            <w:noWrap/>
            <w:tcMar>
              <w:left w:w="20" w:type="dxa"/>
              <w:right w:w="20" w:type="dxa"/>
            </w:tcMar>
            <w:vAlign w:val="center"/>
          </w:tcPr>
          <w:p>
            <w:pPr>
              <w:spacing w:before="0" w:after="20"/>
              <w:jc w:val="center"/>
            </w:pPr>
            <w:r>
              <w:rPr>
                <w:rFonts w:ascii="SimSun" w:eastAsia="SimSun" w:cs="SimSun"/>
                <w:color w:val="000000"/>
                <w:sz w:val="20"/>
                <w:szCs w:val="20"/>
              </w:rPr>
              <w:t>信息内容</w:t>
            </w:r>
          </w:p>
        </w:tc>
        <w:tc>
          <w:tcPr>
            <w:tcW w:w="7345" w:type="dxa"/>
            <w:gridSpan w:val="3"/>
            <w:noWrap/>
            <w:tcMar>
              <w:left w:w="20" w:type="dxa"/>
              <w:right w:w="20" w:type="dxa"/>
            </w:tcMar>
            <w:vAlign w:val="center"/>
          </w:tcPr>
          <w:p>
            <w:pPr>
              <w:spacing w:before="0" w:after="20"/>
              <w:jc w:val="center"/>
            </w:pPr>
            <w:r>
              <w:rPr>
                <w:rFonts w:ascii="SimSun" w:eastAsia="SimSun" w:cs="SimSun"/>
                <w:color w:val="000000"/>
                <w:sz w:val="20"/>
                <w:szCs w:val="20"/>
              </w:rPr>
              <w:t>本年处理决定数量</w:t>
            </w:r>
          </w:p>
        </w:tc>
      </w:tr>
      <w:tr>
        <w:tc>
          <w:tcPr>
            <w:tcW w:w="2475" w:type="dxa"/>
            <w:noWrap/>
            <w:tcMar>
              <w:left w:w="20" w:type="dxa"/>
              <w:right w:w="20" w:type="dxa"/>
            </w:tcMar>
            <w:vAlign w:val="center"/>
          </w:tcPr>
          <w:p>
            <w:pPr>
              <w:spacing w:before="0" w:after="20"/>
              <w:jc w:val="left"/>
            </w:pPr>
            <w:r>
              <w:rPr>
                <w:rFonts w:ascii="SimSun" w:eastAsia="SimSun" w:cs="SimSun"/>
                <w:color w:val="000000"/>
                <w:sz w:val="20"/>
                <w:szCs w:val="20"/>
              </w:rPr>
              <w:t>行政许可</w:t>
            </w:r>
          </w:p>
        </w:tc>
        <w:tc>
          <w:tcPr>
            <w:tcW w:w="7345" w:type="dxa"/>
            <w:gridSpan w:val="3"/>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9780" w:type="dxa"/>
            <w:gridSpan w:val="4"/>
            <w:shd w:val="clear" w:color="auto" w:fill="C6D9F1"/>
            <w:noWrap/>
            <w:tcMar>
              <w:left w:w="20" w:type="dxa"/>
              <w:right w:w="20" w:type="dxa"/>
            </w:tcMar>
            <w:vAlign w:val="center"/>
          </w:tcPr>
          <w:p>
            <w:pPr>
              <w:spacing w:before="0" w:after="20"/>
              <w:jc w:val="center"/>
            </w:pPr>
            <w:r>
              <w:rPr>
                <w:rFonts w:ascii="SimSun" w:eastAsia="SimSun" w:cs="SimSun"/>
                <w:color w:val="000000"/>
                <w:sz w:val="20"/>
                <w:szCs w:val="20"/>
              </w:rPr>
              <w:t>第二十条第（六）项</w:t>
            </w:r>
          </w:p>
        </w:tc>
      </w:tr>
      <w:tr>
        <w:tc>
          <w:tcPr>
            <w:tcW w:w="2475" w:type="dxa"/>
            <w:noWrap/>
            <w:tcMar>
              <w:left w:w="20" w:type="dxa"/>
              <w:right w:w="20" w:type="dxa"/>
            </w:tcMar>
            <w:vAlign w:val="center"/>
          </w:tcPr>
          <w:p>
            <w:pPr>
              <w:spacing w:before="0" w:after="20"/>
              <w:jc w:val="center"/>
            </w:pPr>
            <w:r>
              <w:rPr>
                <w:rFonts w:ascii="SimSun" w:eastAsia="SimSun" w:cs="SimSun"/>
                <w:color w:val="000000"/>
                <w:sz w:val="20"/>
                <w:szCs w:val="20"/>
              </w:rPr>
              <w:t>信息内容</w:t>
            </w:r>
          </w:p>
        </w:tc>
        <w:tc>
          <w:tcPr>
            <w:tcW w:w="7345" w:type="dxa"/>
            <w:gridSpan w:val="3"/>
            <w:noWrap/>
            <w:tcMar>
              <w:left w:w="20" w:type="dxa"/>
              <w:right w:w="20" w:type="dxa"/>
            </w:tcMar>
            <w:vAlign w:val="center"/>
          </w:tcPr>
          <w:p>
            <w:pPr>
              <w:spacing w:before="0" w:after="20"/>
              <w:jc w:val="center"/>
            </w:pPr>
            <w:r>
              <w:rPr>
                <w:rFonts w:ascii="SimSun" w:eastAsia="SimSun" w:cs="SimSun"/>
                <w:color w:val="000000"/>
                <w:sz w:val="20"/>
                <w:szCs w:val="20"/>
              </w:rPr>
              <w:t>本年处理决定数量</w:t>
            </w:r>
          </w:p>
        </w:tc>
      </w:tr>
      <w:tr>
        <w:tc>
          <w:tcPr>
            <w:tcW w:w="2475" w:type="dxa"/>
            <w:noWrap/>
            <w:tcMar>
              <w:left w:w="20" w:type="dxa"/>
              <w:right w:w="20" w:type="dxa"/>
            </w:tcMar>
            <w:vAlign w:val="center"/>
          </w:tcPr>
          <w:p>
            <w:pPr>
              <w:spacing w:before="0" w:after="20"/>
              <w:jc w:val="left"/>
            </w:pPr>
            <w:r>
              <w:rPr>
                <w:rFonts w:ascii="SimSun" w:eastAsia="SimSun" w:cs="SimSun"/>
                <w:color w:val="000000"/>
                <w:sz w:val="20"/>
                <w:szCs w:val="20"/>
              </w:rPr>
              <w:t>行政处罚</w:t>
            </w:r>
          </w:p>
        </w:tc>
        <w:tc>
          <w:tcPr>
            <w:tcW w:w="7345" w:type="dxa"/>
            <w:gridSpan w:val="3"/>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2475" w:type="dxa"/>
            <w:noWrap/>
            <w:tcMar>
              <w:left w:w="20" w:type="dxa"/>
              <w:right w:w="20" w:type="dxa"/>
            </w:tcMar>
            <w:vAlign w:val="center"/>
          </w:tcPr>
          <w:p>
            <w:pPr>
              <w:spacing w:before="0" w:after="20"/>
              <w:jc w:val="left"/>
            </w:pPr>
            <w:r>
              <w:rPr>
                <w:rFonts w:ascii="SimSun" w:eastAsia="SimSun" w:cs="SimSun"/>
                <w:color w:val="000000"/>
                <w:sz w:val="20"/>
                <w:szCs w:val="20"/>
              </w:rPr>
              <w:t>行政强制</w:t>
            </w:r>
          </w:p>
        </w:tc>
        <w:tc>
          <w:tcPr>
            <w:tcW w:w="7345" w:type="dxa"/>
            <w:gridSpan w:val="3"/>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9780" w:type="dxa"/>
            <w:gridSpan w:val="4"/>
            <w:shd w:val="clear" w:color="auto" w:fill="C6D9F1"/>
            <w:noWrap/>
            <w:tcMar>
              <w:left w:w="20" w:type="dxa"/>
              <w:right w:w="20" w:type="dxa"/>
            </w:tcMar>
            <w:vAlign w:val="center"/>
          </w:tcPr>
          <w:p>
            <w:pPr>
              <w:spacing w:before="0" w:after="20"/>
              <w:jc w:val="center"/>
            </w:pPr>
            <w:r>
              <w:rPr>
                <w:rFonts w:ascii="SimSun" w:eastAsia="SimSun" w:cs="SimSun"/>
                <w:color w:val="000000"/>
                <w:sz w:val="20"/>
                <w:szCs w:val="20"/>
              </w:rPr>
              <w:t>第二十条第（八）项</w:t>
            </w:r>
          </w:p>
        </w:tc>
      </w:tr>
      <w:tr>
        <w:tc>
          <w:tcPr>
            <w:tcW w:w="2475" w:type="dxa"/>
            <w:noWrap/>
            <w:tcMar>
              <w:left w:w="20" w:type="dxa"/>
              <w:right w:w="20" w:type="dxa"/>
            </w:tcMar>
            <w:vAlign w:val="center"/>
          </w:tcPr>
          <w:p>
            <w:pPr>
              <w:spacing w:before="0" w:after="20"/>
              <w:jc w:val="center"/>
            </w:pPr>
            <w:r>
              <w:rPr>
                <w:rFonts w:ascii="SimSun" w:eastAsia="SimSun" w:cs="SimSun"/>
                <w:color w:val="000000"/>
                <w:sz w:val="20"/>
                <w:szCs w:val="20"/>
              </w:rPr>
              <w:t>信息内容</w:t>
            </w:r>
          </w:p>
        </w:tc>
        <w:tc>
          <w:tcPr>
            <w:tcW w:w="7345" w:type="dxa"/>
            <w:gridSpan w:val="3"/>
            <w:noWrap/>
            <w:tcMar>
              <w:left w:w="20" w:type="dxa"/>
              <w:right w:w="20" w:type="dxa"/>
            </w:tcMar>
            <w:vAlign w:val="center"/>
          </w:tcPr>
          <w:p>
            <w:pPr>
              <w:spacing w:before="0" w:after="20"/>
              <w:jc w:val="center"/>
            </w:pPr>
            <w:r>
              <w:rPr>
                <w:rFonts w:ascii="SimSun" w:eastAsia="SimSun" w:cs="SimSun"/>
                <w:color w:val="000000"/>
                <w:sz w:val="20"/>
                <w:szCs w:val="20"/>
              </w:rPr>
              <w:t>本年收费金额（单位：万元）</w:t>
            </w:r>
          </w:p>
        </w:tc>
      </w:tr>
      <w:tr>
        <w:tc>
          <w:tcPr>
            <w:tcW w:w="2475" w:type="dxa"/>
            <w:noWrap/>
            <w:tcMar>
              <w:left w:w="20" w:type="dxa"/>
              <w:right w:w="20" w:type="dxa"/>
            </w:tcMar>
            <w:vAlign w:val="center"/>
          </w:tcPr>
          <w:p>
            <w:pPr>
              <w:spacing w:before="0" w:after="20"/>
              <w:jc w:val="left"/>
            </w:pPr>
            <w:r>
              <w:rPr>
                <w:rFonts w:ascii="SimSun" w:eastAsia="SimSun" w:cs="SimSun"/>
                <w:color w:val="000000"/>
                <w:sz w:val="20"/>
                <w:szCs w:val="20"/>
              </w:rPr>
              <w:t>行政事业性收费</w:t>
            </w:r>
          </w:p>
        </w:tc>
        <w:tc>
          <w:tcPr>
            <w:tcW w:w="7345" w:type="dxa"/>
            <w:gridSpan w:val="3"/>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bl>
    <w:p>
      <w:pPr>
        <w:shd w:val="clear" w:color="auto" w:fill="FFFFFF"/>
        <w:spacing w:before="0" w:after="0"/>
        <w:ind w:firstLine="640"/>
        <w:jc w:val="left"/>
      </w:pPr>
      <w:r>
        <w:rPr>
          <w:rFonts w:ascii="SimHei" w:eastAsia="SimHei" w:cs="SimHei"/>
          <w:color w:val="333333"/>
          <w:sz w:val="32"/>
          <w:szCs w:val="32"/>
        </w:rPr>
        <w:t>三、收到和处理政府信息公开申请情况</w:t>
      </w:r>
    </w:p>
    <w:p>
      <w:pPr>
        <w:shd w:val="clear" w:color="auto" w:fill="FFFFFF"/>
        <w:spacing w:before="0" w:after="0"/>
        <w:ind w:firstLine="420"/>
        <w:jc w:val="left"/>
      </w:pPr>
    </w:p>
    <w:tbl>
      <w:tblPr>
        <w:jc w:val="left"/>
        <w:tblInd w:w="20" w:type="dxa"/>
        <w:tblW w:w="9748"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08"/>
        <w:gridCol w:w="983"/>
        <w:gridCol w:w="3260"/>
        <w:gridCol w:w="728"/>
        <w:gridCol w:w="728"/>
        <w:gridCol w:w="728"/>
        <w:gridCol w:w="728"/>
        <w:gridCol w:w="728"/>
        <w:gridCol w:w="728"/>
        <w:gridCol w:w="729"/>
      </w:tblGrid>
      <w:tr>
        <w:tc>
          <w:tcPr>
            <w:tcW w:w="4971" w:type="dxa"/>
            <w:gridSpan w:val="3"/>
            <w:vMerge w:val="restart"/>
            <w:noWrap/>
            <w:tcMar>
              <w:left w:w="20" w:type="dxa"/>
              <w:right w:w="20" w:type="dxa"/>
            </w:tcMar>
            <w:vAlign w:val="center"/>
          </w:tcPr>
          <w:p>
            <w:pPr>
              <w:spacing w:before="0" w:after="20"/>
              <w:jc w:val="left"/>
            </w:pPr>
            <w:r>
              <w:rPr>
                <w:rFonts w:ascii="KaiTi" w:eastAsia="KaiTi" w:cs="KaiTi"/>
                <w:sz w:val="20"/>
                <w:szCs w:val="20"/>
              </w:rPr>
              <w:t>（本列数据的勾稽关系为：第一项加第二项之和，等于第三项加第四项之和）</w:t>
            </w:r>
          </w:p>
          <w:p>
            <w:pPr>
              <w:spacing w:before="0" w:after="20"/>
            </w:pPr>
          </w:p>
          <w:p>
            <w:pPr>
              <w:spacing w:before="0" w:after="20"/>
            </w:pPr>
          </w:p>
        </w:tc>
        <w:tc>
          <w:tcPr>
            <w:tcW w:w="4857" w:type="dxa"/>
            <w:gridSpan w:val="7"/>
            <w:noWrap/>
            <w:tcMar>
              <w:left w:w="20" w:type="dxa"/>
              <w:right w:w="20" w:type="dxa"/>
            </w:tcMar>
            <w:vAlign w:val="center"/>
          </w:tcPr>
          <w:p>
            <w:pPr>
              <w:spacing w:before="0" w:after="20"/>
              <w:jc w:val="center"/>
            </w:pPr>
            <w:r>
              <w:rPr>
                <w:rFonts w:ascii="SimSun" w:eastAsia="SimSun" w:cs="SimSun"/>
                <w:sz w:val="20"/>
                <w:szCs w:val="20"/>
              </w:rPr>
              <w:t>申请人情况</w:t>
            </w:r>
          </w:p>
        </w:tc>
      </w:tr>
      <w:tr>
        <w:tc>
          <w:tcPr>
            <w:tcW w:w="7720" w:type="dxa"/>
            <w:gridSpan w:val="3"/>
            <w:vMerge/>
            <w:noWrap/>
            <w:vAlign w:val="center"/>
          </w:tcPr>
          <w:p/>
        </w:tc>
        <w:tc>
          <w:tcPr>
            <w:tcW w:w="728" w:type="dxa"/>
            <w:vMerge w:val="restart"/>
            <w:noWrap/>
            <w:tcMar>
              <w:left w:w="20" w:type="dxa"/>
              <w:right w:w="20" w:type="dxa"/>
            </w:tcMar>
            <w:vAlign w:val="center"/>
          </w:tcPr>
          <w:p>
            <w:pPr>
              <w:spacing w:before="0" w:after="20"/>
              <w:jc w:val="center"/>
              <w:rPr>
                <w:rFonts w:ascii="SimSun" w:eastAsia="SimSun" w:cs="SimSun"/>
                <w:sz w:val="20"/>
                <w:szCs w:val="20"/>
              </w:rPr>
            </w:pPr>
            <w:r>
              <w:rPr>
                <w:rFonts w:ascii="SimSun" w:eastAsia="SimSun" w:cs="SimSun"/>
                <w:sz w:val="20"/>
                <w:szCs w:val="20"/>
              </w:rPr>
              <w:t>自然人</w:t>
            </w:r>
          </w:p>
          <w:p>
            <w:pPr>
              <w:spacing w:before="0" w:after="20"/>
            </w:pPr>
          </w:p>
        </w:tc>
        <w:tc>
          <w:tcPr>
            <w:tcW w:w="3480" w:type="dxa"/>
            <w:gridSpan w:val="5"/>
            <w:noWrap/>
            <w:tcMar>
              <w:left w:w="20" w:type="dxa"/>
              <w:right w:w="20" w:type="dxa"/>
            </w:tcMar>
            <w:vAlign w:val="center"/>
          </w:tcPr>
          <w:p>
            <w:pPr>
              <w:spacing w:before="0" w:after="20"/>
              <w:jc w:val="center"/>
            </w:pPr>
            <w:r>
              <w:rPr>
                <w:rFonts w:ascii="SimSun" w:eastAsia="SimSun" w:cs="SimSun"/>
                <w:sz w:val="20"/>
                <w:szCs w:val="20"/>
              </w:rPr>
              <w:t>法人或其他组织</w:t>
            </w:r>
          </w:p>
        </w:tc>
        <w:tc>
          <w:tcPr>
            <w:tcW w:w="729" w:type="dxa"/>
            <w:noWrap/>
            <w:tcMar>
              <w:left w:w="20" w:type="dxa"/>
              <w:right w:w="20" w:type="dxa"/>
            </w:tcMar>
            <w:vAlign w:val="center"/>
          </w:tcPr>
          <w:p>
            <w:pPr>
              <w:spacing w:before="0" w:after="20"/>
              <w:jc w:val="center"/>
            </w:pPr>
            <w:r>
              <w:rPr>
                <w:rFonts w:ascii="SimSun" w:eastAsia="SimSun" w:cs="SimSun"/>
                <w:sz w:val="20"/>
                <w:szCs w:val="20"/>
              </w:rPr>
              <w:t>总计</w:t>
            </w:r>
          </w:p>
        </w:tc>
      </w:tr>
      <w:tr>
        <w:tc>
          <w:tcPr>
            <w:tcW w:w="7720" w:type="dxa"/>
            <w:gridSpan w:val="3"/>
            <w:vMerge/>
            <w:noWrap/>
            <w:vAlign w:val="center"/>
          </w:tcPr>
          <w:p/>
        </w:tc>
        <w:tc>
          <w:tcPr>
            <w:tcW w:w="640" w:type="dxa"/>
            <w:vMerge/>
            <w:noWrap/>
            <w:vAlign w:val="center"/>
          </w:tcPr>
          <w:p/>
        </w:tc>
        <w:tc>
          <w:tcPr>
            <w:tcW w:w="728" w:type="dxa"/>
            <w:noWrap/>
            <w:tcMar>
              <w:left w:w="20" w:type="dxa"/>
              <w:right w:w="20" w:type="dxa"/>
            </w:tcMar>
            <w:vAlign w:val="center"/>
          </w:tcPr>
          <w:p>
            <w:pPr>
              <w:spacing w:before="0" w:after="20"/>
              <w:jc w:val="center"/>
              <w:rPr>
                <w:rFonts w:ascii="SimSun" w:eastAsia="SimSun" w:cs="SimSun"/>
                <w:sz w:val="20"/>
                <w:szCs w:val="20"/>
              </w:rPr>
            </w:pPr>
            <w:r>
              <w:rPr>
                <w:rFonts w:ascii="SimSun" w:eastAsia="SimSun" w:cs="SimSun"/>
                <w:sz w:val="20"/>
                <w:szCs w:val="20"/>
              </w:rPr>
              <w:t>商业</w:t>
            </w:r>
          </w:p>
          <w:p>
            <w:pPr>
              <w:spacing w:before="0" w:after="20"/>
              <w:jc w:val="center"/>
            </w:pPr>
            <w:r>
              <w:rPr>
                <w:rFonts w:ascii="SimSun" w:eastAsia="SimSun" w:cs="SimSun"/>
                <w:sz w:val="20"/>
                <w:szCs w:val="20"/>
              </w:rPr>
              <w:t>企业</w:t>
            </w:r>
          </w:p>
        </w:tc>
        <w:tc>
          <w:tcPr>
            <w:tcW w:w="728" w:type="dxa"/>
            <w:noWrap/>
            <w:tcMar>
              <w:left w:w="20" w:type="dxa"/>
              <w:right w:w="20" w:type="dxa"/>
            </w:tcMar>
            <w:vAlign w:val="center"/>
          </w:tcPr>
          <w:p>
            <w:pPr>
              <w:spacing w:before="0" w:after="20"/>
              <w:jc w:val="center"/>
            </w:pPr>
            <w:r>
              <w:rPr>
                <w:rFonts w:ascii="SimSun" w:eastAsia="SimSun" w:cs="SimSun"/>
                <w:sz w:val="20"/>
                <w:szCs w:val="20"/>
              </w:rPr>
              <w:t>科研</w:t>
            </w:r>
          </w:p>
          <w:p>
            <w:pPr>
              <w:spacing w:before="0" w:after="20"/>
              <w:jc w:val="center"/>
            </w:pPr>
            <w:r>
              <w:rPr>
                <w:rFonts w:ascii="SimSun" w:eastAsia="SimSun" w:cs="SimSun"/>
                <w:sz w:val="20"/>
                <w:szCs w:val="20"/>
              </w:rPr>
              <w:t>机构</w:t>
            </w:r>
          </w:p>
        </w:tc>
        <w:tc>
          <w:tcPr>
            <w:tcW w:w="728" w:type="dxa"/>
            <w:noWrap/>
            <w:tcMar>
              <w:left w:w="20" w:type="dxa"/>
              <w:right w:w="20" w:type="dxa"/>
            </w:tcMar>
            <w:vAlign w:val="center"/>
          </w:tcPr>
          <w:p>
            <w:pPr>
              <w:spacing w:before="0" w:after="20"/>
              <w:jc w:val="center"/>
            </w:pPr>
            <w:r>
              <w:rPr>
                <w:rFonts w:ascii="SimSun" w:eastAsia="SimSun" w:cs="SimSun"/>
                <w:sz w:val="20"/>
                <w:szCs w:val="20"/>
              </w:rPr>
              <w:t>社会公益组织</w:t>
            </w:r>
          </w:p>
        </w:tc>
        <w:tc>
          <w:tcPr>
            <w:tcW w:w="728" w:type="dxa"/>
            <w:noWrap/>
            <w:tcMar>
              <w:left w:w="20" w:type="dxa"/>
              <w:right w:w="20" w:type="dxa"/>
            </w:tcMar>
            <w:vAlign w:val="center"/>
          </w:tcPr>
          <w:p>
            <w:pPr>
              <w:spacing w:before="0" w:after="20"/>
              <w:jc w:val="center"/>
            </w:pPr>
            <w:r>
              <w:rPr>
                <w:rFonts w:ascii="SimSun" w:eastAsia="SimSun" w:cs="SimSun"/>
                <w:sz w:val="20"/>
                <w:szCs w:val="20"/>
              </w:rPr>
              <w:t>法律服务机构</w:t>
            </w:r>
          </w:p>
        </w:tc>
        <w:tc>
          <w:tcPr>
            <w:tcW w:w="728" w:type="dxa"/>
            <w:noWrap/>
            <w:tcMar>
              <w:left w:w="20" w:type="dxa"/>
              <w:right w:w="20" w:type="dxa"/>
            </w:tcMar>
            <w:vAlign w:val="center"/>
          </w:tcPr>
          <w:p>
            <w:pPr>
              <w:spacing w:before="0" w:after="20"/>
              <w:jc w:val="center"/>
            </w:pPr>
            <w:r>
              <w:rPr>
                <w:rFonts w:ascii="SimSun" w:eastAsia="SimSun" w:cs="SimSun"/>
                <w:sz w:val="20"/>
                <w:szCs w:val="20"/>
              </w:rPr>
              <w:t>其他</w:t>
            </w:r>
          </w:p>
        </w:tc>
        <w:tc>
          <w:tcPr>
            <w:tcW w:w="728" w:type="dxa"/>
            <w:noWrap/>
            <w:tcMar>
              <w:left w:w="20" w:type="dxa"/>
              <w:right w:w="20" w:type="dxa"/>
            </w:tcMar>
            <w:vAlign w:val="center"/>
          </w:tcPr>
          <w:p/>
        </w:tc>
      </w:tr>
      <w:tr>
        <w:tc>
          <w:tcPr>
            <w:tcW w:w="4971" w:type="dxa"/>
            <w:gridSpan w:val="3"/>
            <w:noWrap/>
            <w:tcMar>
              <w:left w:w="20" w:type="dxa"/>
              <w:right w:w="20" w:type="dxa"/>
            </w:tcMar>
            <w:vAlign w:val="center"/>
          </w:tcPr>
          <w:p>
            <w:pPr>
              <w:spacing w:before="0" w:after="20"/>
              <w:jc w:val="left"/>
            </w:pPr>
            <w:r>
              <w:rPr>
                <w:rFonts w:ascii="SimSun" w:eastAsia="SimSun" w:cs="SimSun"/>
                <w:sz w:val="20"/>
                <w:szCs w:val="20"/>
              </w:rPr>
              <w:t>一、本年新收政府信息公开申请数量</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4971" w:type="dxa"/>
            <w:gridSpan w:val="3"/>
            <w:noWrap/>
            <w:tcMar>
              <w:left w:w="20" w:type="dxa"/>
              <w:right w:w="20" w:type="dxa"/>
            </w:tcMar>
            <w:vAlign w:val="center"/>
          </w:tcPr>
          <w:p>
            <w:pPr>
              <w:spacing w:before="0" w:after="20"/>
              <w:jc w:val="left"/>
            </w:pPr>
            <w:r>
              <w:rPr>
                <w:rFonts w:ascii="SimSun" w:eastAsia="SimSun" w:cs="SimSun"/>
                <w:sz w:val="20"/>
                <w:szCs w:val="20"/>
              </w:rPr>
              <w:t>二、上年结转政府信息公开申请数量</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808" w:type="dxa"/>
            <w:vMerge w:val="restart"/>
            <w:noWrap/>
            <w:tcMar>
              <w:left w:w="20" w:type="dxa"/>
              <w:right w:w="20" w:type="dxa"/>
            </w:tcMar>
            <w:vAlign w:val="center"/>
          </w:tcPr>
          <w:p>
            <w:pPr>
              <w:spacing w:before="0" w:after="20"/>
              <w:jc w:val="left"/>
            </w:pPr>
            <w:r>
              <w:rPr>
                <w:rFonts w:ascii="SimSun" w:eastAsia="SimSun" w:cs="SimSun"/>
                <w:sz w:val="20"/>
                <w:szCs w:val="20"/>
              </w:rPr>
              <w:t>三、本年度办理结果</w:t>
            </w: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tc>
        <w:tc>
          <w:tcPr>
            <w:tcW w:w="4203" w:type="dxa"/>
            <w:gridSpan w:val="2"/>
            <w:noWrap/>
            <w:tcMar>
              <w:left w:w="20" w:type="dxa"/>
              <w:right w:w="20" w:type="dxa"/>
            </w:tcMar>
            <w:vAlign w:val="center"/>
          </w:tcPr>
          <w:p>
            <w:pPr>
              <w:spacing w:before="0" w:after="20"/>
              <w:jc w:val="left"/>
            </w:pPr>
            <w:r>
              <w:rPr>
                <w:rFonts w:ascii="SimSun" w:eastAsia="SimSun" w:cs="SimSun"/>
                <w:sz w:val="20"/>
                <w:szCs w:val="20"/>
              </w:rPr>
              <w:t>（一）予以公开</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4203" w:type="dxa"/>
            <w:gridSpan w:val="2"/>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（二）部分公开</w:t>
            </w:r>
            <w:r>
              <w:rPr>
                <w:rFonts w:ascii="KaiTi" w:eastAsia="KaiTi" w:cs="KaiTi"/>
                <w:sz w:val="20"/>
                <w:szCs w:val="20"/>
              </w:rPr>
              <w:t>（区分处理的，只计这一情形，不计其他情形）</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（三）不予公开</w:t>
            </w: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tc>
        <w:tc>
          <w:tcPr>
            <w:tcW w:w="3260" w:type="dxa"/>
            <w:noWrap/>
            <w:tcMar>
              <w:left w:w="20" w:type="dxa"/>
              <w:right w:w="20" w:type="dxa"/>
            </w:tcMar>
            <w:vAlign w:val="center"/>
          </w:tcPr>
          <w:p>
            <w:pPr>
              <w:spacing w:before="0" w:after="20"/>
              <w:jc w:val="left"/>
            </w:pPr>
            <w:r>
              <w:rPr>
                <w:rFonts w:ascii="SimSun" w:eastAsia="SimSun" w:cs="SimSun"/>
                <w:sz w:val="20"/>
                <w:szCs w:val="20"/>
              </w:rPr>
              <w:t>1.属于</w:t>
            </w:r>
            <w:r>
              <w:rPr>
                <w:rStyle w:val="16"/>
                <w:rFonts w:ascii="SimSun" w:eastAsia="SimSun" w:cs="SimSun"/>
                <w:sz w:val="20"/>
                <w:szCs w:val="20"/>
              </w:rPr>
              <w:t>国家秘密</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2.其他法律行政法规禁止公开</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3.危及"三安全一稳定"</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4.保护第三方合法权益</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5.属于三类内部事务信息</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6.属于四类过程性信息</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7.属于行政执法案卷</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8.属于行政查询事项</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（四）无法提供</w:t>
            </w:r>
          </w:p>
          <w:p>
            <w:pPr>
              <w:spacing w:before="0" w:after="20"/>
            </w:pPr>
          </w:p>
          <w:p>
            <w:pPr>
              <w:spacing w:before="0" w:after="20"/>
            </w:pPr>
          </w:p>
        </w:tc>
        <w:tc>
          <w:tcPr>
            <w:tcW w:w="3260" w:type="dxa"/>
            <w:noWrap/>
            <w:tcMar>
              <w:left w:w="20" w:type="dxa"/>
              <w:right w:w="20" w:type="dxa"/>
            </w:tcMar>
            <w:vAlign w:val="center"/>
          </w:tcPr>
          <w:p>
            <w:pPr>
              <w:spacing w:before="0" w:after="20"/>
              <w:jc w:val="left"/>
            </w:pPr>
            <w:r>
              <w:rPr>
                <w:rFonts w:ascii="SimSun" w:eastAsia="SimSun" w:cs="SimSun"/>
                <w:sz w:val="20"/>
                <w:szCs w:val="20"/>
              </w:rPr>
              <w:t>1.本机关不掌握相关政府信息</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2.没有现成信息需要另行制作</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3.补正后申请内容仍不明确</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（五）不予处理</w:t>
            </w:r>
          </w:p>
          <w:p>
            <w:pPr>
              <w:spacing w:before="0" w:after="20"/>
            </w:pPr>
          </w:p>
          <w:p>
            <w:pPr>
              <w:spacing w:before="0" w:after="20"/>
            </w:pPr>
          </w:p>
          <w:p>
            <w:pPr>
              <w:spacing w:before="0" w:after="20"/>
            </w:pPr>
          </w:p>
          <w:p>
            <w:pPr>
              <w:spacing w:before="0" w:after="20"/>
            </w:pPr>
          </w:p>
        </w:tc>
        <w:tc>
          <w:tcPr>
            <w:tcW w:w="3260" w:type="dxa"/>
            <w:noWrap/>
            <w:tcMar>
              <w:left w:w="20" w:type="dxa"/>
              <w:right w:w="20" w:type="dxa"/>
            </w:tcMar>
            <w:vAlign w:val="center"/>
          </w:tcPr>
          <w:p>
            <w:pPr>
              <w:spacing w:before="0" w:after="20"/>
              <w:jc w:val="left"/>
            </w:pPr>
            <w:r>
              <w:rPr>
                <w:rFonts w:ascii="SimSun" w:eastAsia="SimSun" w:cs="SimSun"/>
                <w:sz w:val="20"/>
                <w:szCs w:val="20"/>
              </w:rPr>
              <w:t>1.信访举报投诉类申请</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2.重复申请</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3.要求提供公开出版物</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4.无正当理由大量反复申请</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rPr>
                <w:rFonts w:ascii="Calibri" w:eastAsia="Calibri" w:cs="Calibri" w:hAnsi="Calibri"/>
                <w:color w:val="000000"/>
                <w:sz w:val="20"/>
                <w:szCs w:val="20"/>
              </w:rPr>
            </w:pPr>
            <w:r>
              <w:rPr>
                <w:rFonts w:ascii="SimSun" w:eastAsia="SimSun" w:cs="SimSun"/>
                <w:sz w:val="20"/>
                <w:szCs w:val="20"/>
              </w:rPr>
              <w:t>5.要求行政机关确认或重新出具已获取信息</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（六）其他处理</w:t>
            </w:r>
          </w:p>
          <w:p>
            <w:pPr>
              <w:spacing w:before="0" w:after="20"/>
            </w:pPr>
          </w:p>
          <w:p>
            <w:pPr>
              <w:spacing w:before="0" w:after="20"/>
            </w:pPr>
          </w:p>
        </w:tc>
        <w:tc>
          <w:tcPr>
            <w:tcW w:w="3260" w:type="dxa"/>
            <w:noWrap/>
            <w:tcMar>
              <w:left w:w="20" w:type="dxa"/>
              <w:right w:w="20" w:type="dxa"/>
            </w:tcMar>
            <w:vAlign w:val="center"/>
          </w:tcPr>
          <w:p>
            <w:pPr>
              <w:spacing w:before="0" w:after="20"/>
            </w:pPr>
            <w:r>
              <w:rPr>
                <w:rFonts w:ascii="SimSun" w:eastAsia="SimSun" w:cs="SimSun"/>
                <w:sz w:val="20"/>
                <w:szCs w:val="20"/>
              </w:rPr>
              <w:t>1.申请人无正当理由逾期不补正、行政机关不再处理其政府信息公开申请</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rPr>
                <w:rFonts w:ascii="Calibri" w:eastAsia="Calibri" w:cs="Calibri" w:hAnsi="Calibri"/>
                <w:color w:val="000000"/>
                <w:sz w:val="20"/>
                <w:szCs w:val="20"/>
              </w:rPr>
            </w:pPr>
            <w:r>
              <w:rPr>
                <w:rFonts w:ascii="SimSun" w:eastAsia="SimSun" w:cs="SimSun"/>
                <w:sz w:val="20"/>
                <w:szCs w:val="20"/>
              </w:rPr>
              <w:t>2.申请人逾期未按收费通知要求缴纳费用、行政机关不再处理其政府信息公开申请</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3.其他</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1840" w:type="dxa"/>
            <w:vMerge/>
            <w:noWrap/>
            <w:vAlign w:val="center"/>
          </w:tcPr>
          <w:p/>
        </w:tc>
        <w:tc>
          <w:tcPr>
            <w:tcW w:w="4203" w:type="dxa"/>
            <w:gridSpan w:val="2"/>
            <w:noWrap/>
            <w:tcMar>
              <w:left w:w="20" w:type="dxa"/>
              <w:right w:w="20" w:type="dxa"/>
            </w:tcMar>
            <w:vAlign w:val="center"/>
          </w:tcPr>
          <w:p>
            <w:pPr>
              <w:spacing w:before="0" w:after="20"/>
              <w:jc w:val="left"/>
              <w:rPr>
                <w:rFonts w:ascii="Calibri" w:eastAsia="Calibri" w:cs="Calibri" w:hAnsi="Calibri"/>
                <w:color w:val="000000"/>
                <w:sz w:val="20"/>
                <w:szCs w:val="20"/>
              </w:rPr>
            </w:pPr>
            <w:r>
              <w:rPr>
                <w:rFonts w:ascii="SimSun" w:eastAsia="SimSun" w:cs="SimSun"/>
                <w:sz w:val="20"/>
                <w:szCs w:val="20"/>
              </w:rPr>
              <w:t>（七）总计</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r>
        <w:tc>
          <w:tcPr>
            <w:tcW w:w="4971" w:type="dxa"/>
            <w:gridSpan w:val="3"/>
            <w:noWrap/>
            <w:tcMar>
              <w:left w:w="20" w:type="dxa"/>
              <w:right w:w="20" w:type="dxa"/>
            </w:tcMar>
            <w:vAlign w:val="center"/>
          </w:tcPr>
          <w:p>
            <w:pPr>
              <w:spacing w:before="0" w:after="20"/>
              <w:jc w:val="left"/>
            </w:pPr>
            <w:r>
              <w:rPr>
                <w:rFonts w:ascii="SimSun" w:eastAsia="SimSun" w:cs="SimSun"/>
                <w:sz w:val="20"/>
                <w:szCs w:val="20"/>
              </w:rPr>
              <w:t>四、结转下年度继续办理</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8"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72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bl>
    <w:p>
      <w:pPr>
        <w:shd w:val="clear" w:color="auto" w:fill="FFFFFF"/>
        <w:spacing w:before="0" w:after="0"/>
        <w:ind w:firstLine="640"/>
        <w:jc w:val="left"/>
      </w:pPr>
    </w:p>
    <w:p>
      <w:pPr>
        <w:shd w:val="clear" w:color="auto" w:fill="FFFFFF"/>
        <w:spacing w:before="0" w:after="0"/>
        <w:ind w:firstLine="640"/>
        <w:jc w:val="left"/>
      </w:pPr>
      <w:r>
        <w:rPr>
          <w:rFonts w:ascii="SimHei" w:eastAsia="SimHei" w:cs="SimHei"/>
          <w:color w:val="333333"/>
          <w:sz w:val="32"/>
          <w:szCs w:val="32"/>
        </w:rPr>
        <w:t>四、政府信息公开行政复议、行政诉讼情况</w:t>
      </w:r>
    </w:p>
    <w:tbl>
      <w:tblPr>
        <w:jc w:val="left"/>
        <w:tblInd w:w="20" w:type="dxa"/>
        <w:tblW w:w="9748"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689"/>
        <w:gridCol w:w="689"/>
        <w:gridCol w:w="689"/>
        <w:gridCol w:w="689"/>
        <w:gridCol w:w="689"/>
        <w:gridCol w:w="689"/>
        <w:gridCol w:w="689"/>
        <w:gridCol w:w="690"/>
        <w:gridCol w:w="690"/>
        <w:gridCol w:w="690"/>
        <w:gridCol w:w="691"/>
        <w:gridCol w:w="691"/>
        <w:gridCol w:w="691"/>
        <w:gridCol w:w="691"/>
        <w:gridCol w:w="691"/>
      </w:tblGrid>
      <w:tr>
        <w:tc>
          <w:tcPr>
            <w:tcW w:w="3285" w:type="dxa"/>
            <w:gridSpan w:val="5"/>
            <w:noWrap/>
            <w:tcMar>
              <w:left w:w="20" w:type="dxa"/>
              <w:right w:w="20" w:type="dxa"/>
            </w:tcMar>
            <w:vAlign w:val="center"/>
          </w:tcPr>
          <w:p>
            <w:pPr>
              <w:spacing w:before="0" w:after="20"/>
              <w:jc w:val="center"/>
            </w:pPr>
            <w:r>
              <w:rPr>
                <w:rFonts w:ascii="SimSun" w:eastAsia="SimSun" w:cs="SimSun"/>
                <w:sz w:val="20"/>
                <w:szCs w:val="20"/>
              </w:rPr>
              <w:t>行政复议</w:t>
            </w:r>
          </w:p>
        </w:tc>
        <w:tc>
          <w:tcPr>
            <w:tcW w:w="6543" w:type="dxa"/>
            <w:gridSpan w:val="10"/>
            <w:noWrap/>
            <w:tcMar>
              <w:left w:w="20" w:type="dxa"/>
              <w:right w:w="20" w:type="dxa"/>
            </w:tcMar>
            <w:vAlign w:val="center"/>
          </w:tcPr>
          <w:p>
            <w:pPr>
              <w:spacing w:before="0" w:after="20"/>
              <w:jc w:val="center"/>
            </w:pPr>
            <w:r>
              <w:rPr>
                <w:rFonts w:ascii="SimSun" w:eastAsia="SimSun" w:cs="SimSun"/>
                <w:sz w:val="20"/>
                <w:szCs w:val="20"/>
              </w:rPr>
              <w:t>行政诉讼</w:t>
            </w:r>
          </w:p>
        </w:tc>
      </w:tr>
      <w:tr>
        <w:tc>
          <w:tcPr>
            <w:tcW w:w="689" w:type="dxa"/>
            <w:vMerge w:val="restart"/>
            <w:noWrap/>
            <w:tcMar>
              <w:left w:w="20" w:type="dxa"/>
              <w:right w:w="20" w:type="dxa"/>
            </w:tcMar>
            <w:vAlign w:val="center"/>
          </w:tcPr>
          <w:p>
            <w:pPr>
              <w:spacing w:before="0" w:after="20"/>
              <w:jc w:val="center"/>
            </w:pPr>
            <w:r>
              <w:rPr>
                <w:rFonts w:ascii="SimSun" w:eastAsia="SimSun" w:cs="SimSun"/>
                <w:sz w:val="20"/>
                <w:szCs w:val="20"/>
              </w:rPr>
              <w:t>结果维持</w:t>
            </w:r>
          </w:p>
          <w:p>
            <w:pPr>
              <w:spacing w:before="0" w:after="20"/>
            </w:pPr>
          </w:p>
        </w:tc>
        <w:tc>
          <w:tcPr>
            <w:tcW w:w="689" w:type="dxa"/>
            <w:vMerge w:val="restart"/>
            <w:noWrap/>
            <w:tcMar>
              <w:left w:w="20" w:type="dxa"/>
              <w:right w:w="20" w:type="dxa"/>
            </w:tcMar>
            <w:vAlign w:val="center"/>
          </w:tcPr>
          <w:p>
            <w:pPr>
              <w:spacing w:before="0" w:after="20"/>
              <w:jc w:val="center"/>
            </w:pPr>
            <w:r>
              <w:rPr>
                <w:rFonts w:ascii="SimSun" w:eastAsia="SimSun" w:cs="SimSun"/>
                <w:sz w:val="20"/>
                <w:szCs w:val="20"/>
              </w:rPr>
              <w:t>结果</w:t>
              <w:br/>
              <w:t>纠正</w:t>
            </w:r>
          </w:p>
          <w:p>
            <w:pPr>
              <w:spacing w:before="0" w:after="20"/>
            </w:pPr>
          </w:p>
        </w:tc>
        <w:tc>
          <w:tcPr>
            <w:tcW w:w="689" w:type="dxa"/>
            <w:vMerge w:val="restart"/>
            <w:noWrap/>
            <w:tcMar>
              <w:left w:w="20" w:type="dxa"/>
              <w:right w:w="20" w:type="dxa"/>
            </w:tcMar>
            <w:vAlign w:val="center"/>
          </w:tcPr>
          <w:p>
            <w:pPr>
              <w:spacing w:before="0" w:after="20"/>
              <w:jc w:val="center"/>
            </w:pPr>
            <w:r>
              <w:rPr>
                <w:rFonts w:ascii="SimSun" w:eastAsia="SimSun" w:cs="SimSun"/>
                <w:sz w:val="20"/>
                <w:szCs w:val="20"/>
              </w:rPr>
              <w:t>其他</w:t>
              <w:br/>
              <w:t>结果</w:t>
            </w:r>
          </w:p>
          <w:p>
            <w:pPr>
              <w:spacing w:before="0" w:after="20"/>
            </w:pPr>
          </w:p>
        </w:tc>
        <w:tc>
          <w:tcPr>
            <w:tcW w:w="689" w:type="dxa"/>
            <w:vMerge w:val="restart"/>
            <w:noWrap/>
            <w:tcMar>
              <w:left w:w="20" w:type="dxa"/>
              <w:right w:w="20" w:type="dxa"/>
            </w:tcMar>
            <w:vAlign w:val="center"/>
          </w:tcPr>
          <w:p>
            <w:pPr>
              <w:spacing w:before="0" w:after="20"/>
              <w:jc w:val="center"/>
            </w:pPr>
            <w:r>
              <w:rPr>
                <w:rFonts w:ascii="SimSun" w:eastAsia="SimSun" w:cs="SimSun"/>
                <w:sz w:val="20"/>
                <w:szCs w:val="20"/>
              </w:rPr>
              <w:t>尚未</w:t>
              <w:br/>
              <w:t>审结</w:t>
            </w:r>
          </w:p>
          <w:p>
            <w:pPr>
              <w:spacing w:before="0" w:after="20"/>
            </w:pPr>
          </w:p>
        </w:tc>
        <w:tc>
          <w:tcPr>
            <w:tcW w:w="689" w:type="dxa"/>
            <w:vMerge w:val="restart"/>
            <w:noWrap/>
            <w:tcMar>
              <w:left w:w="20" w:type="dxa"/>
              <w:right w:w="20" w:type="dxa"/>
            </w:tcMar>
            <w:vAlign w:val="center"/>
          </w:tcPr>
          <w:p>
            <w:pPr>
              <w:spacing w:before="0" w:after="20"/>
              <w:jc w:val="center"/>
            </w:pPr>
            <w:r>
              <w:rPr>
                <w:rFonts w:ascii="SimSun" w:eastAsia="SimSun" w:cs="SimSun"/>
                <w:sz w:val="20"/>
                <w:szCs w:val="20"/>
              </w:rPr>
              <w:t>总计</w:t>
            </w:r>
          </w:p>
          <w:p>
            <w:pPr>
              <w:spacing w:before="0" w:after="20"/>
            </w:pPr>
          </w:p>
        </w:tc>
        <w:tc>
          <w:tcPr>
            <w:tcW w:w="3288" w:type="dxa"/>
            <w:gridSpan w:val="5"/>
            <w:noWrap/>
            <w:tcMar>
              <w:left w:w="20" w:type="dxa"/>
              <w:right w:w="20" w:type="dxa"/>
            </w:tcMar>
            <w:vAlign w:val="center"/>
          </w:tcPr>
          <w:p>
            <w:pPr>
              <w:spacing w:before="0" w:after="20"/>
              <w:jc w:val="center"/>
            </w:pPr>
            <w:r>
              <w:rPr>
                <w:rFonts w:ascii="SimSun" w:eastAsia="SimSun" w:cs="SimSun"/>
                <w:sz w:val="20"/>
                <w:szCs w:val="20"/>
              </w:rPr>
              <w:t>未经复议直接起诉</w:t>
            </w:r>
          </w:p>
        </w:tc>
        <w:tc>
          <w:tcPr>
            <w:tcW w:w="3295" w:type="dxa"/>
            <w:gridSpan w:val="5"/>
            <w:noWrap/>
            <w:tcMar>
              <w:left w:w="20" w:type="dxa"/>
              <w:right w:w="20" w:type="dxa"/>
            </w:tcMar>
            <w:vAlign w:val="center"/>
          </w:tcPr>
          <w:p>
            <w:pPr>
              <w:spacing w:before="0" w:after="20"/>
              <w:jc w:val="center"/>
            </w:pPr>
            <w:r>
              <w:rPr>
                <w:rFonts w:ascii="SimSun" w:eastAsia="SimSun" w:cs="SimSun"/>
                <w:sz w:val="20"/>
                <w:szCs w:val="20"/>
              </w:rPr>
              <w:t>复议后起诉</w:t>
            </w:r>
          </w:p>
        </w:tc>
      </w:tr>
      <w:tr>
        <w:tc>
          <w:tcPr>
            <w:tcW w:w="840" w:type="dxa"/>
            <w:vMerge/>
            <w:noWrap/>
            <w:vAlign w:val="center"/>
          </w:tcPr>
          <w:p/>
        </w:tc>
        <w:tc>
          <w:tcPr>
            <w:tcW w:w="636" w:type="dxa"/>
            <w:vMerge/>
            <w:noWrap/>
            <w:vAlign w:val="center"/>
          </w:tcPr>
          <w:p/>
        </w:tc>
        <w:tc>
          <w:tcPr>
            <w:tcW w:w="636" w:type="dxa"/>
            <w:vMerge/>
            <w:noWrap/>
            <w:vAlign w:val="center"/>
          </w:tcPr>
          <w:p/>
        </w:tc>
        <w:tc>
          <w:tcPr>
            <w:tcW w:w="636" w:type="dxa"/>
            <w:vMerge/>
            <w:noWrap/>
            <w:vAlign w:val="center"/>
          </w:tcPr>
          <w:p/>
        </w:tc>
        <w:tc>
          <w:tcPr>
            <w:tcW w:w="636" w:type="dxa"/>
            <w:vMerge/>
            <w:noWrap/>
            <w:vAlign w:val="center"/>
          </w:tcPr>
          <w:p/>
        </w:tc>
        <w:tc>
          <w:tcPr>
            <w:tcW w:w="689" w:type="dxa"/>
            <w:noWrap/>
            <w:tcMar>
              <w:left w:w="20" w:type="dxa"/>
              <w:right w:w="20" w:type="dxa"/>
            </w:tcMar>
            <w:vAlign w:val="center"/>
          </w:tcPr>
          <w:p>
            <w:pPr>
              <w:spacing w:before="0" w:after="20"/>
              <w:jc w:val="center"/>
              <w:rPr>
                <w:rFonts w:ascii="SimSun" w:eastAsia="SimSun" w:cs="SimSun"/>
                <w:sz w:val="20"/>
                <w:szCs w:val="20"/>
              </w:rPr>
            </w:pPr>
            <w:r>
              <w:rPr>
                <w:rFonts w:ascii="SimSun" w:eastAsia="SimSun" w:cs="SimSun"/>
                <w:sz w:val="20"/>
                <w:szCs w:val="20"/>
              </w:rPr>
              <w:t>结果</w:t>
              <w:br/>
              <w:t>维持</w:t>
            </w:r>
          </w:p>
        </w:tc>
        <w:tc>
          <w:tcPr>
            <w:tcW w:w="689" w:type="dxa"/>
            <w:noWrap/>
            <w:tcMar>
              <w:left w:w="20" w:type="dxa"/>
              <w:right w:w="20" w:type="dxa"/>
            </w:tcMar>
            <w:vAlign w:val="center"/>
          </w:tcPr>
          <w:p>
            <w:pPr>
              <w:spacing w:before="0" w:after="20"/>
              <w:jc w:val="center"/>
            </w:pPr>
            <w:r>
              <w:rPr>
                <w:rFonts w:ascii="SimSun" w:eastAsia="SimSun" w:cs="SimSun"/>
                <w:sz w:val="20"/>
                <w:szCs w:val="20"/>
              </w:rPr>
              <w:t>结果</w:t>
              <w:br/>
              <w:t>纠正</w:t>
            </w:r>
          </w:p>
        </w:tc>
        <w:tc>
          <w:tcPr>
            <w:tcW w:w="690" w:type="dxa"/>
            <w:noWrap/>
            <w:tcMar>
              <w:left w:w="20" w:type="dxa"/>
              <w:right w:w="20" w:type="dxa"/>
            </w:tcMar>
            <w:vAlign w:val="center"/>
          </w:tcPr>
          <w:p>
            <w:pPr>
              <w:spacing w:before="0" w:after="20"/>
              <w:jc w:val="center"/>
            </w:pPr>
            <w:r>
              <w:rPr>
                <w:rFonts w:ascii="SimSun" w:eastAsia="SimSun" w:cs="SimSun"/>
                <w:sz w:val="20"/>
                <w:szCs w:val="20"/>
              </w:rPr>
              <w:t>其他</w:t>
              <w:br/>
              <w:t>结果</w:t>
            </w:r>
          </w:p>
        </w:tc>
        <w:tc>
          <w:tcPr>
            <w:tcW w:w="690" w:type="dxa"/>
            <w:noWrap/>
            <w:tcMar>
              <w:left w:w="20" w:type="dxa"/>
              <w:right w:w="20" w:type="dxa"/>
            </w:tcMar>
            <w:vAlign w:val="center"/>
          </w:tcPr>
          <w:p>
            <w:pPr>
              <w:spacing w:before="0" w:after="20"/>
              <w:jc w:val="center"/>
            </w:pPr>
            <w:r>
              <w:rPr>
                <w:rFonts w:ascii="SimSun" w:eastAsia="SimSun" w:cs="SimSun"/>
                <w:sz w:val="20"/>
                <w:szCs w:val="20"/>
              </w:rPr>
              <w:t>尚未</w:t>
              <w:br/>
              <w:t>审结</w:t>
            </w:r>
          </w:p>
        </w:tc>
        <w:tc>
          <w:tcPr>
            <w:tcW w:w="690" w:type="dxa"/>
            <w:noWrap/>
            <w:tcMar>
              <w:left w:w="20" w:type="dxa"/>
              <w:right w:w="20" w:type="dxa"/>
            </w:tcMar>
            <w:vAlign w:val="center"/>
          </w:tcPr>
          <w:p>
            <w:pPr>
              <w:spacing w:before="0" w:after="20"/>
              <w:jc w:val="center"/>
            </w:pPr>
            <w:r>
              <w:rPr>
                <w:rFonts w:ascii="SimSun" w:eastAsia="SimSun" w:cs="SimSun"/>
                <w:color w:val="000000"/>
                <w:sz w:val="20"/>
                <w:szCs w:val="20"/>
              </w:rPr>
              <w:t>总计</w:t>
            </w:r>
          </w:p>
        </w:tc>
        <w:tc>
          <w:tcPr>
            <w:tcW w:w="691" w:type="dxa"/>
            <w:noWrap/>
            <w:tcMar>
              <w:left w:w="20" w:type="dxa"/>
              <w:right w:w="20" w:type="dxa"/>
            </w:tcMar>
            <w:vAlign w:val="center"/>
          </w:tcPr>
          <w:p>
            <w:pPr>
              <w:spacing w:before="0" w:after="20"/>
              <w:jc w:val="center"/>
            </w:pPr>
            <w:r>
              <w:rPr>
                <w:rFonts w:ascii="SimSun" w:eastAsia="SimSun" w:cs="SimSun"/>
                <w:sz w:val="20"/>
                <w:szCs w:val="20"/>
              </w:rPr>
              <w:t>结果</w:t>
              <w:br/>
              <w:t>维持</w:t>
            </w:r>
          </w:p>
        </w:tc>
        <w:tc>
          <w:tcPr>
            <w:tcW w:w="691" w:type="dxa"/>
            <w:noWrap/>
            <w:tcMar>
              <w:left w:w="20" w:type="dxa"/>
              <w:right w:w="20" w:type="dxa"/>
            </w:tcMar>
            <w:vAlign w:val="center"/>
          </w:tcPr>
          <w:p>
            <w:pPr>
              <w:spacing w:before="0" w:after="20"/>
              <w:jc w:val="center"/>
            </w:pPr>
            <w:r>
              <w:rPr>
                <w:rFonts w:ascii="SimSun" w:eastAsia="SimSun" w:cs="SimSun"/>
                <w:sz w:val="20"/>
                <w:szCs w:val="20"/>
              </w:rPr>
              <w:t>结果</w:t>
              <w:br/>
              <w:t>纠正</w:t>
            </w:r>
          </w:p>
        </w:tc>
        <w:tc>
          <w:tcPr>
            <w:tcW w:w="691" w:type="dxa"/>
            <w:noWrap/>
            <w:tcMar>
              <w:left w:w="20" w:type="dxa"/>
              <w:right w:w="20" w:type="dxa"/>
            </w:tcMar>
            <w:vAlign w:val="center"/>
          </w:tcPr>
          <w:p>
            <w:pPr>
              <w:spacing w:before="0" w:after="20"/>
              <w:jc w:val="center"/>
            </w:pPr>
            <w:r>
              <w:rPr>
                <w:rFonts w:ascii="SimSun" w:eastAsia="SimSun" w:cs="SimSun"/>
                <w:color w:val="000000"/>
                <w:sz w:val="20"/>
                <w:szCs w:val="20"/>
              </w:rPr>
              <w:t>其他</w:t>
              <w:br/>
              <w:t>结果</w:t>
            </w:r>
          </w:p>
        </w:tc>
        <w:tc>
          <w:tcPr>
            <w:tcW w:w="691" w:type="dxa"/>
            <w:noWrap/>
            <w:tcMar>
              <w:left w:w="20" w:type="dxa"/>
              <w:right w:w="20" w:type="dxa"/>
            </w:tcMar>
            <w:vAlign w:val="center"/>
          </w:tcPr>
          <w:p>
            <w:pPr>
              <w:spacing w:before="0" w:after="20"/>
              <w:jc w:val="center"/>
            </w:pPr>
            <w:r>
              <w:rPr>
                <w:rFonts w:ascii="SimSun" w:eastAsia="SimSun" w:cs="SimSun"/>
                <w:sz w:val="20"/>
                <w:szCs w:val="20"/>
              </w:rPr>
              <w:t>尚未</w:t>
              <w:br/>
              <w:t>审结</w:t>
            </w:r>
          </w:p>
        </w:tc>
        <w:tc>
          <w:tcPr>
            <w:tcW w:w="691" w:type="dxa"/>
            <w:noWrap/>
            <w:tcMar>
              <w:left w:w="20" w:type="dxa"/>
              <w:right w:w="20" w:type="dxa"/>
            </w:tcMar>
            <w:vAlign w:val="center"/>
          </w:tcPr>
          <w:p>
            <w:pPr>
              <w:spacing w:before="0" w:after="20"/>
              <w:jc w:val="center"/>
            </w:pPr>
            <w:r>
              <w:rPr>
                <w:rFonts w:ascii="SimSun" w:eastAsia="SimSun" w:cs="SimSun"/>
                <w:color w:val="000000"/>
                <w:sz w:val="20"/>
                <w:szCs w:val="20"/>
              </w:rPr>
              <w:t>总计</w:t>
            </w:r>
          </w:p>
        </w:tc>
      </w:tr>
      <w:tr>
        <w:tc>
          <w:tcPr>
            <w:tcW w:w="68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8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8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89"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8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68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689"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c>
          <w:tcPr>
            <w:tcW w:w="690"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90"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90"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91" w:type="dxa"/>
            <w:noWrap/>
            <w:tcMar>
              <w:left w:w="20" w:type="dxa"/>
              <w:right w:w="20" w:type="dxa"/>
            </w:tcMar>
            <w:vAlign w:val="center"/>
          </w:tcPr>
          <w:p>
            <w:pPr>
              <w:spacing w:before="0" w:after="20"/>
              <w:jc w:val="center"/>
            </w:pPr>
            <w:r>
              <w:rPr>
                <w:sz w:val="20"/>
                <w:szCs w:val="20"/>
              </w:rPr>
              <w:t> </w:t>
            </w:r>
            <w:r>
              <w:rPr>
                <w:rFonts w:ascii="Calibri" w:eastAsia="Calibri" w:cs="Calibri" w:hAnsi="Calibri"/>
                <w:color w:val="000000"/>
                <w:sz w:val="20"/>
                <w:szCs w:val="20"/>
              </w:rPr>
              <w:t>0</w:t>
            </w:r>
          </w:p>
        </w:tc>
        <w:tc>
          <w:tcPr>
            <w:tcW w:w="691"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691"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r>
              <w:rPr>
                <w:sz w:val="20"/>
                <w:szCs w:val="20"/>
              </w:rPr>
              <w:t> </w:t>
            </w:r>
          </w:p>
        </w:tc>
        <w:tc>
          <w:tcPr>
            <w:tcW w:w="691"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c>
          <w:tcPr>
            <w:tcW w:w="691" w:type="dxa"/>
            <w:noWrap/>
            <w:tcMar>
              <w:left w:w="20" w:type="dxa"/>
              <w:right w:w="20" w:type="dxa"/>
            </w:tcMar>
            <w:vAlign w:val="center"/>
          </w:tcPr>
          <w:p>
            <w:pPr>
              <w:spacing w:before="0" w:after="20"/>
              <w:jc w:val="center"/>
            </w:pPr>
            <w:r>
              <w:rPr>
                <w:rFonts w:ascii="Calibri" w:eastAsia="Calibri" w:cs="Calibri" w:hAnsi="Calibri"/>
                <w:color w:val="000000"/>
                <w:sz w:val="20"/>
                <w:szCs w:val="20"/>
              </w:rPr>
              <w:t>0</w:t>
            </w:r>
          </w:p>
        </w:tc>
      </w:tr>
    </w:tbl>
    <w:p>
      <w:pPr>
        <w:shd w:val="clear" w:color="auto" w:fill="FFFFFF"/>
        <w:spacing w:before="0" w:after="0"/>
        <w:ind w:firstLine="640"/>
        <w:jc w:val="left"/>
      </w:pPr>
      <w:r>
        <w:rPr>
          <w:rFonts w:ascii="SimHei" w:eastAsia="SimHei" w:cs="SimHei"/>
          <w:color w:val="333333"/>
          <w:sz w:val="32"/>
          <w:szCs w:val="32"/>
        </w:rPr>
        <w:t>五、存在的主要问题及改进情况</w:t>
      </w:r>
    </w:p>
    <w:p>
      <w:pPr>
        <w:shd w:val="clear" w:color="auto" w:fill="FFFFFF"/>
        <w:spacing w:before="0" w:after="0"/>
        <w:ind w:firstLine="640"/>
        <w:jc w:val="left"/>
      </w:pPr>
      <w:r>
        <w:rPr>
          <w:rFonts w:ascii="KaiTi" w:eastAsia="KaiTi" w:cs="KaiTi"/>
          <w:b/>
          <w:bCs/>
          <w:color w:val="333333"/>
          <w:sz w:val="32"/>
          <w:szCs w:val="32"/>
        </w:rPr>
        <w:t>（一）存在问题</w:t>
      </w:r>
    </w:p>
    <w:p>
      <w:pPr>
        <w:shd w:val="clear" w:color="auto" w:fill="FFFFFF"/>
        <w:spacing w:before="0" w:after="0"/>
        <w:ind w:firstLine="640"/>
        <w:jc w:val="left"/>
      </w:pPr>
      <w:r>
        <w:rPr>
          <w:rFonts w:ascii="FangSong" w:eastAsia="FangSong" w:cs="FangSong" w:hAnsi="FangSong"/>
          <w:sz w:val="32"/>
          <w:szCs w:val="32"/>
        </w:rPr>
        <w:t>2024年我镇政府信息公开工作虽取得了一定成绩，但仍存在一些问题，表现在：一是</w:t>
      </w:r>
      <w:r>
        <w:rPr>
          <w:rStyle w:val="17"/>
          <w:rFonts w:ascii="FangSong" w:eastAsia="FangSong" w:cs="FangSong" w:hAnsi="FangSong"/>
          <w:sz w:val="32"/>
          <w:szCs w:val="32"/>
        </w:rPr>
        <w:t>政府信息公开</w:t>
      </w:r>
      <w:r>
        <w:rPr>
          <w:rFonts w:ascii="FangSong" w:eastAsia="FangSong" w:cs="FangSong" w:hAnsi="FangSong"/>
          <w:sz w:val="32"/>
          <w:szCs w:val="32"/>
        </w:rPr>
        <w:t>的信息质量尚需进一步提升；二是信息公开的内容尚不够全面详尽,且信息的更新速度有待加快；三是工作人员业务水平还有待提高。</w:t>
      </w:r>
    </w:p>
    <w:p>
      <w:pPr>
        <w:shd w:val="clear" w:color="auto" w:fill="FFFFFF"/>
        <w:spacing w:before="0" w:after="0"/>
        <w:ind w:firstLine="640"/>
        <w:jc w:val="left"/>
      </w:pPr>
      <w:r>
        <w:rPr>
          <w:rFonts w:ascii="KaiTi" w:eastAsia="KaiTi" w:cs="KaiTi"/>
          <w:b/>
          <w:bCs/>
          <w:sz w:val="32"/>
          <w:szCs w:val="32"/>
        </w:rPr>
        <w:t>（二）改进情况</w:t>
      </w:r>
    </w:p>
    <w:p>
      <w:pPr>
        <w:shd w:val="clear" w:color="auto" w:fill="FFFFFF"/>
        <w:spacing w:before="0" w:after="0"/>
        <w:ind w:firstLine="640"/>
        <w:jc w:val="left"/>
      </w:pPr>
      <w:r>
        <w:rPr>
          <w:rFonts w:ascii="FangSong" w:eastAsia="FangSong" w:cs="FangSong" w:hAnsi="FangSong"/>
          <w:sz w:val="32"/>
          <w:szCs w:val="32"/>
        </w:rPr>
        <w:t>一是提升政务信息质量，进一步加大政务公开信息的审核力度,强化政务公开工作的日常管理,工作落实到人,进一步规范信息收集、审核、发布流程。</w:t>
      </w:r>
    </w:p>
    <w:p>
      <w:pPr>
        <w:shd w:val="clear" w:color="auto" w:fill="FFFFFF"/>
        <w:spacing w:before="0" w:after="0"/>
        <w:ind w:firstLine="640"/>
        <w:jc w:val="left"/>
      </w:pPr>
      <w:r>
        <w:rPr>
          <w:rFonts w:ascii="FangSong" w:eastAsia="FangSong" w:cs="FangSong" w:hAnsi="FangSong"/>
          <w:sz w:val="32"/>
          <w:szCs w:val="32"/>
        </w:rPr>
        <w:t>二是完善信息公开内容，全面梳理镇政府的各项工作职责和业务范围，按照决策、执行、管理、服务、结果"五公开"要求，制定详细的信息公开清单。明确每个事项的公开内容、公开标准、公开时限及责任部门，确保应公开尽公开。</w:t>
      </w:r>
    </w:p>
    <w:p>
      <w:pPr>
        <w:shd w:val="clear" w:color="auto" w:fill="FFFFFF"/>
        <w:spacing w:before="0" w:after="0"/>
        <w:ind w:firstLine="640"/>
        <w:jc w:val="left"/>
      </w:pPr>
      <w:r>
        <w:rPr>
          <w:rFonts w:ascii="FangSong" w:eastAsia="FangSong" w:cs="FangSong" w:hAnsi="FangSong"/>
          <w:sz w:val="32"/>
          <w:szCs w:val="32"/>
        </w:rPr>
        <w:t>三是提高工作人员业务水平，根据工作人员业务短板，制定针对性的培训计划。定期开展</w:t>
      </w:r>
      <w:r>
        <w:rPr>
          <w:rStyle w:val="18"/>
          <w:rFonts w:ascii="FangSong" w:eastAsia="FangSong" w:cs="FangSong" w:hAnsi="FangSong"/>
          <w:sz w:val="32"/>
          <w:szCs w:val="32"/>
        </w:rPr>
        <w:t>政府信息公开</w:t>
      </w:r>
      <w:r>
        <w:rPr>
          <w:rFonts w:ascii="FangSong" w:eastAsia="FangSong" w:cs="FangSong" w:hAnsi="FangSong"/>
          <w:sz w:val="32"/>
          <w:szCs w:val="32"/>
        </w:rPr>
        <w:t>政策法规、操作流程、系统应用等方面的专题培训，邀请上级主管部门业务专家进行深度讲解和实操指导，确保工作人员熟悉政策要求和工作流程，熟练掌握信息公开系统的操作技能。</w:t>
      </w:r>
    </w:p>
    <w:p>
      <w:pPr>
        <w:shd w:val="clear" w:color="auto" w:fill="FFFFFF"/>
        <w:spacing w:before="0" w:after="0"/>
        <w:ind w:firstLine="640"/>
        <w:jc w:val="left"/>
      </w:pPr>
      <w:r>
        <w:rPr>
          <w:rFonts w:ascii="SimHei" w:eastAsia="SimHei" w:cs="SimHei"/>
          <w:sz w:val="32"/>
          <w:szCs w:val="32"/>
        </w:rPr>
        <w:t>六、其他需要报告的事项</w:t>
      </w:r>
    </w:p>
    <w:p>
      <w:pPr>
        <w:shd w:val="clear" w:color="auto" w:fill="FFFFFF"/>
        <w:spacing w:before="0" w:after="0"/>
        <w:ind w:firstLine="640"/>
        <w:jc w:val="left"/>
      </w:pPr>
      <w:r>
        <w:rPr>
          <w:rFonts w:ascii="FangSong" w:eastAsia="FangSong" w:cs="FangSong" w:hAnsi="FangSong"/>
          <w:sz w:val="32"/>
          <w:szCs w:val="32"/>
        </w:rPr>
        <w:t>2024年度蒋村镇没有收取任何政府信息公开处理费。</w:t>
      </w:r>
    </w:p>
    <w:p>
      <w:pPr>
        <w:shd w:val="clear" w:color="auto" w:fill="FFFFFF"/>
        <w:spacing w:before="0" w:after="0"/>
        <w:ind w:firstLine="420"/>
        <w:jc w:val="left"/>
      </w:pPr>
    </w:p>
    <w:p>
      <w:pPr>
        <w:shd w:val="clear" w:color="auto" w:fill="FFFFFF"/>
        <w:spacing w:before="0" w:after="0"/>
        <w:ind w:firstLine="420"/>
        <w:jc w:val="left"/>
      </w:pPr>
    </w:p>
    <w:p>
      <w:pPr>
        <w:shd w:val="clear" w:color="auto" w:fill="FFFFFF"/>
        <w:spacing w:before="0" w:after="0"/>
        <w:ind w:firstLine="480"/>
      </w:pPr>
      <w:r>
        <w:rPr>
          <w:rFonts w:ascii="SimSun" w:eastAsia="SimSun" w:cs="SimSun"/>
        </w:rPr>
        <w:t xml:space="preserve">                              </w:t>
      </w:r>
      <w:r>
        <w:rPr>
          <w:rFonts w:ascii="FangSong" w:eastAsia="FangSong" w:cs="FangSong" w:hAnsi="FangSong"/>
          <w:sz w:val="32"/>
          <w:szCs w:val="32"/>
        </w:rPr>
        <w:t xml:space="preserve">                    </w:t>
      </w:r>
      <w:bookmarkStart w:id="0" w:name="_GoBack"/>
      <w:bookmarkEnd w:id="0"/>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蒋村镇人民政府</w:t>
      </w:r>
    </w:p>
    <w:p>
      <w:pPr>
        <w:shd w:val="clear" w:color="auto" w:fill="FFFFFF"/>
        <w:spacing w:before="0" w:after="0"/>
        <w:ind w:firstLine="640"/>
        <w:jc w:val="right"/>
      </w:pPr>
      <w:r>
        <w:rPr>
          <w:rFonts w:ascii="FangSong" w:eastAsia="FangSong" w:cs="FangSong" w:hAnsi="FangSong"/>
          <w:sz w:val="32"/>
          <w:szCs w:val="32"/>
        </w:rPr>
        <w:t xml:space="preserve">2025年1月21日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color w:val="333333"/>
          <w:sz w:val="32"/>
          <w:szCs w:val="32"/>
        </w:rPr>
        <w:t xml:space="preserve"> </w:t>
      </w:r>
    </w:p>
    <w:p/>
    <w:sectPr>
      <w:pgSz w:w="12240" w:h="15840"/>
      <w:pgMar w:top="1440" w:right="1800" w:bottom="1440" w:left="180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SimHei">
    <w:altName w:val="宋体"/>
    <w:panose1 w:val="00000000000000000000"/>
    <w:charset w:val="00"/>
    <w:family w:val="auto"/>
    <w:pitch w:val="variable"/>
    <w:sig w:usb0="00000000" w:usb1="00000000" w:usb2="00000000" w:usb3="00000000" w:csb0="00000000" w:csb1="00000000"/>
  </w:font>
  <w:font w:name="FangSong">
    <w:altName w:val="DejaVu Sans"/>
    <w:panose1 w:val="00000000000000000000"/>
    <w:charset w:val="00"/>
    <w:family w:val="auto"/>
    <w:pitch w:val="variable"/>
    <w:sig w:usb0="00000000" w:usb1="00000000" w:usb2="00000000" w:usb3="00000000" w:csb0="00000000" w:csb1="00000000"/>
  </w:font>
  <w:font w:name="KaiTi">
    <w:altName w:val="永中楷体"/>
    <w:panose1 w:val="00000000000000000000"/>
    <w:charset w:val="00"/>
    <w:family w:val="auto"/>
    <w:pitch w:val="variable"/>
    <w:sig w:usb0="00000000" w:usb1="00000000" w:usb2="00000000" w:usb3="00000000" w:csb0="00000000" w:csb1="00000000"/>
  </w:font>
  <w:font w:name="SimSun">
    <w:panose1 w:val="00000000000000000000"/>
    <w:charset w:val="00"/>
    <w:family w:val="auto"/>
    <w:pitch w:val="variable"/>
    <w:sig w:usb0="00000000" w:usb1="00000000" w:usb2="00000000" w:usb3="00000000" w:csb0="00000000" w:csb1="00000000"/>
  </w:font>
  <w:font w:name="Calibri">
    <w:altName w:val="DejaVu Sans"/>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CC"/>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0"/>
  <w:displayVerticalDrawingGridEvery w:val="1"/>
  <w:noPunctuationKerning/>
  <w:compat>
    <w:spaceForUL/>
    <w:growAutofit/>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宋体" w:eastAsia="黑体" w:hAnsi="宋体"/>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customStyle="1" w:styleId="15">
    <w:name w:val="errorword sensitive mgc data-span-mgc0 ignoreword"/>
    <w:basedOn w:val="10"/>
  </w:style>
  <w:style w:type="character" w:customStyle="1" w:styleId="16">
    <w:name w:val="word"/>
    <w:basedOn w:val="10"/>
  </w:style>
  <w:style w:type="character" w:customStyle="1" w:styleId="17">
    <w:name w:val="data-span-seriousError0"/>
    <w:basedOn w:val="10"/>
  </w:style>
  <w:style w:type="character" w:customStyle="1" w:styleId="18">
    <w:name w:val="data-span-seriousError1"/>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2220</Words>
  <Characters>2259</Characters>
  <Lines>419</Lines>
  <Paragraphs>302</Paragraphs>
  <CharactersWithSpaces>2511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xxzx</cp:lastModifiedBy>
  <cp:revision>1</cp:revision>
  <dcterms:modified xsi:type="dcterms:W3CDTF">2025-02-05T07:14:27Z</dcterms:modified>
</cp:coreProperties>
</file>